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efefe" w:val="clear"/>
        <w:spacing w:after="240" w:lineRule="auto"/>
        <w:rPr>
          <w:b w:val="1"/>
          <w:sz w:val="29"/>
          <w:szCs w:val="29"/>
        </w:rPr>
      </w:pPr>
      <w:r w:rsidDel="00000000" w:rsidR="00000000" w:rsidRPr="00000000">
        <w:rPr>
          <w:b w:val="1"/>
          <w:sz w:val="29"/>
          <w:szCs w:val="29"/>
          <w:rtl w:val="0"/>
        </w:rPr>
        <w:t xml:space="preserve">Kako uporabljati „kalkulator za tovorni promet“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Tovorni kalkulator je interaktivno orodje, namenjeno učečim se, ki ga lahko uporabljajo individualno ali v skupinah. Z njim lahko spoznajo gospodarski in okoljski vpliv tovornega prometa. Z orodjem raziščejo tovorni promet, vključno z izbiro izdelka, potjo, uporabljenim prevozom in povezanimi okoljskimi stroški.</w:t>
      </w:r>
    </w:p>
    <w:p w:rsidR="00000000" w:rsidDel="00000000" w:rsidP="00000000" w:rsidRDefault="00000000" w:rsidRPr="00000000" w14:paraId="00000004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Po izbiri in vnosu podatkov kalkulator izračuna ekonomske in okoljske vrednosti posameznih poti in skupno vrednost. Omogoča tudi ekstrapolacijo podatkov za poznejšo uporabo. V ekonomskem smislu kalkulator oceni skupno ceno tovora. Za več podrobnosti glejte spodaj.</w:t>
      </w:r>
    </w:p>
    <w:p w:rsidR="00000000" w:rsidDel="00000000" w:rsidP="00000000" w:rsidRDefault="00000000" w:rsidRPr="00000000" w14:paraId="00000005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„Kalkulator za tovorni promet“ spodbuja učeče se k razvijanju kritičnega razmišljanja. Z analizo podatkov lahko razmišljajo o zapletenih mehanizmih, ki se skrivajo za navidezno preprostim dejanjem, da je izdelek na policah trgovin. To spodbuja globlje razumevanje globalnih dobavnih verig in skritih stroškov, povezanih z vsakdanjimi izdelki, tako z okoljskega kot gospodarskega vidika.</w:t>
      </w:r>
    </w:p>
    <w:p w:rsidR="00000000" w:rsidDel="00000000" w:rsidP="00000000" w:rsidRDefault="00000000" w:rsidRPr="00000000" w14:paraId="00000006">
      <w:pPr>
        <w:spacing w:after="48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Možnosti dostopa: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orodje lahko uporabite neposredno na spletnem mestu (na spletu);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prenesite datoteko ZIP v obliki HTML za uporabo brez povezave;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48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prenesite datoteko ZIP v formatu Excel za uporabo brez povezave.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Korak 1: Izberite svoj izdelek</w:t>
      </w:r>
    </w:p>
    <w:p w:rsidR="00000000" w:rsidDel="00000000" w:rsidP="00000000" w:rsidRDefault="00000000" w:rsidRPr="00000000" w14:paraId="0000000B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Orodje predlaga, da začnete z znanim izdelkom, na primer s hrano (npr. bananami). Tako je začetno raziskovanje za učence bolj razumljivo.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efefe" w:val="clear"/>
        <w:spacing w:after="240" w:lineRule="auto"/>
        <w:rPr/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How to prepare bananas for the world - an Ecuadorian story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Korak 2: Raziskava in vnos emisij iz prometa</w:t>
      </w:r>
    </w:p>
    <w:p w:rsidR="00000000" w:rsidDel="00000000" w:rsidP="00000000" w:rsidRDefault="00000000" w:rsidRPr="00000000" w14:paraId="0000000F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Podatki o emisijah se lahko razlikujejo glede na posamezne vrste prometa in posebne značilnosti vozil. V spletnih virih poiščite ocenjene vrednosti emisij in jih ročno vnesite v kalkulator za tovorni promet. Kljub temu orodje predlaga vrednosti, ki temeljijo na povprečju, vzetem iz različnih virov med predlaganimi.</w:t>
      </w:r>
    </w:p>
    <w:p w:rsidR="00000000" w:rsidDel="00000000" w:rsidP="00000000" w:rsidRDefault="00000000" w:rsidRPr="00000000" w14:paraId="00000010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Predlog: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hd w:fill="fefefe" w:val="clear"/>
        <w:spacing w:after="0" w:afterAutospacing="0" w:lineRule="auto"/>
        <w:ind w:left="720" w:hanging="36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CO2 emissions from trucks in the EU: An analysis of the heavy-duty CO2 standards baseline data - International Council on Clean Transportation (theicct.org)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hd w:fill="fefefe" w:val="clear"/>
        <w:spacing w:after="0" w:afterAutospacing="0" w:lineRule="auto"/>
        <w:ind w:left="720" w:hanging="36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Emissions from train travel (carbonindependent.org)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hd w:fill="fefefe" w:val="clear"/>
        <w:spacing w:after="0" w:afterAutospacing="0" w:lineRule="auto"/>
        <w:ind w:left="720" w:hanging="36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https://ec.europa.eu/info/funding-tenders/opportunities/docs/2021-2027/innovfund/other/ghg-calculator-ccs_innovfund-lsc_v2.0_en.xlsx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hd w:fill="fefefe" w:val="clear"/>
        <w:spacing w:after="240" w:lineRule="auto"/>
        <w:ind w:left="720" w:hanging="36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Transport Emission Factors | Climatiq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Korak 3: Opredelitev poti pošiljanja</w:t>
      </w:r>
    </w:p>
    <w:p w:rsidR="00000000" w:rsidDel="00000000" w:rsidP="00000000" w:rsidRDefault="00000000" w:rsidRPr="00000000" w14:paraId="00000017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Izberete lahko na primer Quito (Ekvador) v Berlin (Nemčija).</w:t>
      </w:r>
    </w:p>
    <w:p w:rsidR="00000000" w:rsidDel="00000000" w:rsidP="00000000" w:rsidRDefault="00000000" w:rsidRPr="00000000" w14:paraId="00000018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Korak 4: Določite težo pošiljke</w:t>
      </w:r>
    </w:p>
    <w:p w:rsidR="00000000" w:rsidDel="00000000" w:rsidP="00000000" w:rsidRDefault="00000000" w:rsidRPr="00000000" w14:paraId="0000001A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Korak 5: Izberite način prevoza (ali kombinacijo)</w:t>
      </w:r>
    </w:p>
    <w:p w:rsidR="00000000" w:rsidDel="00000000" w:rsidP="00000000" w:rsidRDefault="00000000" w:rsidRPr="00000000" w14:paraId="0000001C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V kalkulatorju za tovorni promet lahko upoštevate različne možnosti, kot so tovornjaki, tovorne ladje, letala ali vlaki. Glede na izbrano pot boste morda morali kombinirati več načinov prevoza.</w:t>
      </w:r>
    </w:p>
    <w:p w:rsidR="00000000" w:rsidDel="00000000" w:rsidP="00000000" w:rsidRDefault="00000000" w:rsidRPr="00000000" w14:paraId="0000001D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Za informacije o razdaljah in možnostih prevoza lahko obiščete Tovorni kalkulator. Na primer, za prevoz banan iz Quita v Berlin vam lahko predlaga kombinacijo tovornjaka, tovorne ladje in še enega tovornjaka. Za izračun celotne razdalje boste morali upoštevati skupne razdalje za vsak del poti (tovornjak + tovorna ladja + tovornjak).</w:t>
      </w:r>
    </w:p>
    <w:p w:rsidR="00000000" w:rsidDel="00000000" w:rsidP="00000000" w:rsidRDefault="00000000" w:rsidRPr="00000000" w14:paraId="0000001E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align>center</wp:align>
            </wp:positionH>
            <wp:positionV relativeFrom="margin">
              <wp:posOffset>644339</wp:posOffset>
            </wp:positionV>
            <wp:extent cx="6327648" cy="1512326"/>
            <wp:effectExtent b="0" l="0" r="0" t="0"/>
            <wp:wrapTopAndBottom distB="114300" distT="11430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27648" cy="15123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align>center</wp:align>
            </wp:positionH>
            <wp:positionV relativeFrom="margin">
              <wp:posOffset>2811467</wp:posOffset>
            </wp:positionV>
            <wp:extent cx="4096512" cy="3179941"/>
            <wp:effectExtent b="0" l="0" r="0" t="0"/>
            <wp:wrapTopAndBottom distB="114300" distT="11430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96512" cy="31799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efefe" w:val="clear"/>
        <w:spacing w:after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efefe" w:val="clear"/>
        <w:spacing w:after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efefe" w:val="clear"/>
        <w:spacing w:after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Scenarij 1: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Banane</w:t>
            </w:r>
          </w:p>
        </w:tc>
      </w:tr>
    </w:tbl>
    <w:p w:rsidR="00000000" w:rsidDel="00000000" w:rsidP="00000000" w:rsidRDefault="00000000" w:rsidRPr="00000000" w14:paraId="00000026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Izvor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Destinacija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Quito (Ekvador)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Berlin (Nemčija)</w:t>
            </w:r>
          </w:p>
        </w:tc>
      </w:tr>
    </w:tbl>
    <w:p w:rsidR="00000000" w:rsidDel="00000000" w:rsidP="00000000" w:rsidRDefault="00000000" w:rsidRPr="00000000" w14:paraId="0000002B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Teža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1.5 ton</w:t>
            </w:r>
          </w:p>
        </w:tc>
      </w:tr>
    </w:tbl>
    <w:p w:rsidR="00000000" w:rsidDel="00000000" w:rsidP="00000000" w:rsidRDefault="00000000" w:rsidRPr="00000000" w14:paraId="0000002E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430"/>
        <w:gridCol w:w="2205"/>
        <w:gridCol w:w="2145"/>
        <w:tblGridChange w:id="0">
          <w:tblGrid>
            <w:gridCol w:w="2580"/>
            <w:gridCol w:w="2430"/>
            <w:gridCol w:w="2205"/>
            <w:gridCol w:w="2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Začetek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Konec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 vozila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Razdalja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Quito (Ekvador)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Esmeraldas (Ekvador)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Tovornjak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225.21 km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Esmeraldas (Ekvador)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Malmoe ((Švedska)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Ladja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10880.4 km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Malmoe (Švedska)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Berlin (Nemčija)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Tovornjak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713.75 km</w:t>
            </w:r>
          </w:p>
        </w:tc>
      </w:tr>
    </w:tbl>
    <w:p w:rsidR="00000000" w:rsidDel="00000000" w:rsidP="00000000" w:rsidRDefault="00000000" w:rsidRPr="00000000" w14:paraId="0000003F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50"/>
        <w:tblGridChange w:id="0">
          <w:tblGrid>
            <w:gridCol w:w="4680"/>
            <w:gridCol w:w="4650"/>
          </w:tblGrid>
        </w:tblGridChange>
      </w:tblGrid>
      <w:tr>
        <w:trPr>
          <w:cantSplit w:val="0"/>
          <w:trHeight w:val="444.98046875" w:hRule="atLeast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Vozilo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CO2e / ton.km</w:t>
            </w:r>
          </w:p>
        </w:tc>
      </w:tr>
      <w:tr>
        <w:trPr>
          <w:cantSplit w:val="0"/>
          <w:trHeight w:val="444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Tovornjak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0.108 kg</w:t>
            </w:r>
          </w:p>
        </w:tc>
      </w:tr>
      <w:tr>
        <w:trPr>
          <w:cantSplit w:val="0"/>
          <w:trHeight w:val="444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Vlak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0.065 kg</w:t>
            </w:r>
          </w:p>
        </w:tc>
      </w:tr>
      <w:tr>
        <w:trPr>
          <w:cantSplit w:val="0"/>
          <w:trHeight w:val="444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Letalo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0.1116 kg</w:t>
            </w:r>
          </w:p>
        </w:tc>
      </w:tr>
      <w:tr>
        <w:trPr>
          <w:cantSplit w:val="0"/>
          <w:trHeight w:val="444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Ladja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0.03 kg</w:t>
            </w:r>
          </w:p>
        </w:tc>
      </w:tr>
    </w:tbl>
    <w:p w:rsidR="00000000" w:rsidDel="00000000" w:rsidP="00000000" w:rsidRDefault="00000000" w:rsidRPr="00000000" w14:paraId="0000004A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efefe" w:val="clear"/>
        <w:spacing w:after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Scenarij 2: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Mikročipi</w:t>
            </w:r>
          </w:p>
        </w:tc>
      </w:tr>
    </w:tbl>
    <w:p w:rsidR="00000000" w:rsidDel="00000000" w:rsidP="00000000" w:rsidRDefault="00000000" w:rsidRPr="00000000" w14:paraId="00000051">
      <w:pPr>
        <w:shd w:fill="fefefe" w:val="clear"/>
        <w:spacing w:after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Izvor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Destinacija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Beijing (Kitajska)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Berlin (Nemčija)</w:t>
            </w:r>
          </w:p>
        </w:tc>
      </w:tr>
    </w:tbl>
    <w:p w:rsidR="00000000" w:rsidDel="00000000" w:rsidP="00000000" w:rsidRDefault="00000000" w:rsidRPr="00000000" w14:paraId="00000056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Teža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1.5 ton</w:t>
            </w:r>
          </w:p>
        </w:tc>
      </w:tr>
    </w:tbl>
    <w:p w:rsidR="00000000" w:rsidDel="00000000" w:rsidP="00000000" w:rsidRDefault="00000000" w:rsidRPr="00000000" w14:paraId="00000059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5"/>
        <w:gridCol w:w="2595"/>
        <w:gridCol w:w="1800"/>
        <w:gridCol w:w="2340"/>
        <w:tblGridChange w:id="0">
          <w:tblGrid>
            <w:gridCol w:w="2625"/>
            <w:gridCol w:w="2595"/>
            <w:gridCol w:w="1800"/>
            <w:gridCol w:w="2340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Začetek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Konec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 vozila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Razdalja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Beijing (Kitajska)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Beijing Airport (Kitajska)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Tovornjak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28.8 km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Bijing Airport (Kitajska)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Frankfurt (Nemčija)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Letalo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7780.85 km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Frankfurt (Nemčija)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Berlin Station (Nemčija)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Vlak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454 km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Berlin Station (Nemčija)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Berlin Centre (Nemčija)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Tovornjak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3.6 km</w:t>
            </w:r>
          </w:p>
        </w:tc>
      </w:tr>
    </w:tbl>
    <w:p w:rsidR="00000000" w:rsidDel="00000000" w:rsidP="00000000" w:rsidRDefault="00000000" w:rsidRPr="00000000" w14:paraId="0000006E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50"/>
        <w:tblGridChange w:id="0">
          <w:tblGrid>
            <w:gridCol w:w="4680"/>
            <w:gridCol w:w="4650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Vozilo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CO2e / ton.km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Tovornjak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0.246 kg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Vlak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0.065 kg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Letalo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0.1116 kg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Ladja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0.03 kg</w:t>
            </w:r>
          </w:p>
        </w:tc>
      </w:tr>
    </w:tbl>
    <w:p w:rsidR="00000000" w:rsidDel="00000000" w:rsidP="00000000" w:rsidRDefault="00000000" w:rsidRPr="00000000" w14:paraId="00000079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hd w:fill="fefefe" w:val="clear"/>
        <w:spacing w:after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Ker je vsako vozilo drugačno, se emisijski faktorji razlikujejo glede na okoliščine. V prvem scenariju faktor emisij tovornjakov temelji na povprečju vozil, v drugem pa faktor emisij tovornjakov temelji na podatkih posebej izbranega tovornjaka.</w:t>
      </w:r>
    </w:p>
    <w:p w:rsidR="00000000" w:rsidDel="00000000" w:rsidP="00000000" w:rsidRDefault="00000000" w:rsidRPr="00000000" w14:paraId="0000007B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hd w:fill="fefefe" w:val="clear"/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Še korak dlje 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shd w:fill="fefefe" w:val="clear"/>
        <w:spacing w:after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Izračun ekonomske vrednosti</w:t>
      </w:r>
    </w:p>
    <w:p w:rsidR="00000000" w:rsidDel="00000000" w:rsidP="00000000" w:rsidRDefault="00000000" w:rsidRPr="00000000" w14:paraId="0000007E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Tukaj poglobite uporabljeno formulo:</w:t>
      </w:r>
    </w:p>
    <w:p w:rsidR="00000000" w:rsidDel="00000000" w:rsidP="00000000" w:rsidRDefault="00000000" w:rsidRPr="00000000" w14:paraId="0000007F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[(cena ene enote goriva/razdalja ene enote goriva)/(skupajTeu* ene toneTeu)*razdalja*teža]/(odstotek/100)</w:t>
      </w:r>
    </w:p>
    <w:p w:rsidR="00000000" w:rsidDel="00000000" w:rsidP="00000000" w:rsidRDefault="00000000" w:rsidRPr="00000000" w14:paraId="00000080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S to formulo se izračunajo ocenjeni skupni prevozni stroški za pošiljko.</w:t>
      </w:r>
    </w:p>
    <w:p w:rsidR="00000000" w:rsidDel="00000000" w:rsidP="00000000" w:rsidRDefault="00000000" w:rsidRPr="00000000" w14:paraId="00000081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Upošteva stroške goriva na podlagi cene goriva, učinkovitosti goriva, prevožene razdalje in skupne teže tovora (tako iz dvajsetstopenjskih ekvivalentnih enot (TEU) kot iz specifične teže tovora).</w:t>
      </w:r>
    </w:p>
    <w:p w:rsidR="00000000" w:rsidDel="00000000" w:rsidP="00000000" w:rsidRDefault="00000000" w:rsidRPr="00000000" w14:paraId="00000082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Vendar pa pravi skupni strošek tovornega podjetja vključuje dodatne stroške, ki se lahko razlikujejo glede na posamezno pošiljko. Ti stroški lahko vključujejo:</w:t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shd w:fill="fefefe" w:val="clear"/>
        <w:spacing w:after="0" w:after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stroške dela: plače in nadomestila za voznike, nakladalce in drugo osebje, ki sodeluje pri prevozu;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shd w:fill="fefefe" w:val="clear"/>
        <w:spacing w:after="0" w:after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vzdrževanje in popravila vozil: vzdrževanje vozil v dobrem voznem stanju;</w:t>
      </w:r>
    </w:p>
    <w:p w:rsidR="00000000" w:rsidDel="00000000" w:rsidP="00000000" w:rsidRDefault="00000000" w:rsidRPr="00000000" w14:paraId="00000085">
      <w:pPr>
        <w:numPr>
          <w:ilvl w:val="0"/>
          <w:numId w:val="2"/>
        </w:numPr>
        <w:shd w:fill="fefefe" w:val="clear"/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upravni stroški: zavarovanje, dovoljenja in drugi operativni stroški.</w:t>
      </w:r>
    </w:p>
    <w:p w:rsidR="00000000" w:rsidDel="00000000" w:rsidP="00000000" w:rsidRDefault="00000000" w:rsidRPr="00000000" w14:paraId="00000086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Za upoštevanje teh spremenljivih stroškov se v formuli uporablja odstotek, ki predstavlja ocenjeni delež stroškov goriva v končni ceni. To nam omogoča izračun hipotetične končne cene ob upoštevanju stroškov goriva in rezerve za dodatne stroške. Čeprav to ni natančna končna cena, nam daje predstavo o možni stopnji dobička na podlagi izbranega odstotka.</w:t>
      </w:r>
    </w:p>
    <w:p w:rsidR="00000000" w:rsidDel="00000000" w:rsidP="00000000" w:rsidRDefault="00000000" w:rsidRPr="00000000" w14:paraId="00000087">
      <w:pPr>
        <w:shd w:fill="fefefe" w:val="clear"/>
        <w:spacing w:after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4"/>
        </w:numPr>
        <w:shd w:fill="fefefe" w:val="clear"/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Spreminjanje kode</w:t>
      </w:r>
    </w:p>
    <w:p w:rsidR="00000000" w:rsidDel="00000000" w:rsidP="00000000" w:rsidRDefault="00000000" w:rsidRPr="00000000" w14:paraId="00000090">
      <w:pPr>
        <w:shd w:fill="fefefe" w:val="clear"/>
        <w:spacing w:after="240" w:lineRule="auto"/>
        <w:rPr/>
      </w:pPr>
      <w:r w:rsidDel="00000000" w:rsidR="00000000" w:rsidRPr="00000000">
        <w:rPr>
          <w:rtl w:val="0"/>
        </w:rPr>
        <w:t xml:space="preserve">Datoteka script.js v orodju omogoča prilagajanje. Učeči se lahko analizirajo okoljski in gospodarski vpliv določenih vozil tako, da spremenijo formule in namesto povprečnih vrednosti vključijo vrednosti izbranega vozila.</w:t>
      </w:r>
    </w:p>
    <w:p w:rsidR="00000000" w:rsidDel="00000000" w:rsidP="00000000" w:rsidRDefault="00000000" w:rsidRPr="00000000" w14:paraId="00000091">
      <w:pPr>
        <w:shd w:fill="fefefe" w:val="clear"/>
        <w:spacing w:after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943600" cy="35814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jc w:val="center"/>
      <w:rPr/>
    </w:pPr>
    <w:r w:rsidDel="00000000" w:rsidR="00000000" w:rsidRPr="00000000">
      <w:rPr>
        <w:rtl w:val="0"/>
      </w:rPr>
      <w:t xml:space="preserve">    </w:t>
    </w:r>
    <w:r w:rsidDel="00000000" w:rsidR="00000000" w:rsidRPr="00000000">
      <w:rPr/>
      <w:drawing>
        <wp:inline distB="114300" distT="114300" distL="114300" distR="114300">
          <wp:extent cx="4484884" cy="691312"/>
          <wp:effectExtent b="0" l="0" r="0" t="0"/>
          <wp:docPr id="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84884" cy="69131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rPr/>
    </w:pPr>
    <w:r w:rsidDel="00000000" w:rsidR="00000000" w:rsidRPr="00000000">
      <w:rPr/>
      <w:drawing>
        <wp:inline distB="114300" distT="114300" distL="114300" distR="114300">
          <wp:extent cx="3595688" cy="77471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5688" cy="7747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hyperlink" Target="https://www.climatiq.io/data/sector/transport" TargetMode="External"/><Relationship Id="rId13" Type="http://schemas.openxmlformats.org/officeDocument/2006/relationships/image" Target="media/image4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c.europa.eu/info/funding-tenders/opportunities/docs/2021-2027/innovfund/other/ghg-calculator-ccs_innovfund-lsc_v2.0_en.xlsx" TargetMode="External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youtu.be/iEvhDXjoN94?si=a8ZiDLaFV-byrAM_" TargetMode="External"/><Relationship Id="rId7" Type="http://schemas.openxmlformats.org/officeDocument/2006/relationships/hyperlink" Target="https://theicct.org/publication/co2-emissions-from-trucks-in-the-eu-an-analysis-of-the-heavy-duty-co2-standards-baseline-data/" TargetMode="External"/><Relationship Id="rId8" Type="http://schemas.openxmlformats.org/officeDocument/2006/relationships/hyperlink" Target="https://www.carbonindependent.org/21.html#:~:text=Emissions%20from%20train%20travel%20The%20calculator%20uses%20a,and%20passenger%20load%20%28ranging%20from%2044%25%20to%2068%25%29.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