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781C6E" w14:textId="77777777" w:rsidR="00AB5509" w:rsidRDefault="00AB5509">
      <w:pPr>
        <w:shd w:val="clear" w:color="auto" w:fill="FEFEFE"/>
        <w:spacing w:after="240"/>
        <w:rPr>
          <w:b/>
          <w:sz w:val="29"/>
          <w:szCs w:val="29"/>
        </w:rPr>
      </w:pPr>
    </w:p>
    <w:p w14:paraId="151B2D48" w14:textId="66D0C283" w:rsidR="00AB5509" w:rsidRPr="00322CD1" w:rsidRDefault="00000000">
      <w:pPr>
        <w:shd w:val="clear" w:color="auto" w:fill="FEFEFE"/>
        <w:spacing w:after="240"/>
        <w:rPr>
          <w:b/>
          <w:sz w:val="29"/>
          <w:szCs w:val="29"/>
        </w:rPr>
      </w:pPr>
      <w:r>
        <w:rPr>
          <w:b/>
          <w:sz w:val="29"/>
          <w:szCs w:val="29"/>
        </w:rPr>
        <w:t xml:space="preserve">"Navlun Hesaplayıcısı" </w:t>
      </w:r>
      <w:r w:rsidR="00322CD1">
        <w:rPr>
          <w:b/>
          <w:sz w:val="29"/>
          <w:szCs w:val="29"/>
        </w:rPr>
        <w:t>Kullanma Kılavuzu</w:t>
      </w:r>
    </w:p>
    <w:p w14:paraId="4EA4E2EB" w14:textId="77777777" w:rsidR="00AB5509" w:rsidRDefault="00000000">
      <w:pPr>
        <w:shd w:val="clear" w:color="auto" w:fill="FEFEFE"/>
        <w:spacing w:after="240"/>
      </w:pPr>
      <w:r>
        <w:t>Navlun Hesaplayıcısı, öğrenciler için tasarlanmış, bireysel veya gruplar halinde kullanılabilen etkileşimli bir araçtır. Öğrencilerin yük taşımacılığının ekonomik ve çevresel etkisi hakkında daha fazla bilgi edinmelerini sağlar. Öğrenciler, ürün seçimi, rota, kullanılan ulaşım ve ilgili çevresel maliyetler dahil olmak üzere aracı kullanarak yük taşımacılığını araştırmaya davet edilir.</w:t>
      </w:r>
    </w:p>
    <w:p w14:paraId="26A24151" w14:textId="77777777" w:rsidR="00AB5509" w:rsidRDefault="00000000">
      <w:pPr>
        <w:shd w:val="clear" w:color="auto" w:fill="FEFEFE"/>
        <w:spacing w:after="240"/>
      </w:pPr>
      <w:r>
        <w:t>Veriler seçilip girildikten sonra, hesap makinesi bireysel rotaların ekonomik ve çevresel değerlerini ve toplamı döndürür. Ayrıca, verileri daha sonra kullanmak üzere ekstrapolasyon yapmanıza da olanak tanır. Ekonomik açıdan, hesap makinesi yükün toplam fiyatını tahmin eder. Daha fazla ayrıntı için aşağıya bakın.</w:t>
      </w:r>
    </w:p>
    <w:p w14:paraId="39B08223" w14:textId="77777777" w:rsidR="00AB5509" w:rsidRDefault="00000000">
      <w:pPr>
        <w:shd w:val="clear" w:color="auto" w:fill="FEFEFE"/>
        <w:spacing w:after="240"/>
      </w:pPr>
      <w:r>
        <w:t>"Navlun Hesaplayıcısı" öğrencileri eleştirel düşünme geliştirmeye teşvik eder. Verileri analiz ederek öğrenciler, bir ürünü mağaza raflarında bulundurmanın basit görünen eyleminin ardındaki karmaşık mekanizmaları düşünebilirler. Bu, küresel tedarik zincirleri ve hem çevresel hem de ekonomik açıdan günlük ürünlerle ilişkili gizli maliyetler hakkında daha derin bir anlayış geliştirir.</w:t>
      </w:r>
    </w:p>
    <w:p w14:paraId="437D5E05" w14:textId="77777777" w:rsidR="00AB5509" w:rsidRDefault="00AB5509">
      <w:pPr>
        <w:shd w:val="clear" w:color="auto" w:fill="FEFEFE"/>
        <w:spacing w:after="240"/>
        <w:rPr>
          <w:sz w:val="20"/>
          <w:szCs w:val="20"/>
        </w:rPr>
      </w:pPr>
    </w:p>
    <w:p w14:paraId="3B8CAF79" w14:textId="77777777" w:rsidR="00AB5509" w:rsidRDefault="00000000">
      <w:pPr>
        <w:spacing w:before="240" w:after="480"/>
      </w:pPr>
      <w:r>
        <w:t>Erişim seçenekleri:</w:t>
      </w:r>
    </w:p>
    <w:p w14:paraId="1F347DA4" w14:textId="77777777" w:rsidR="00AB5509" w:rsidRDefault="00000000">
      <w:pPr>
        <w:numPr>
          <w:ilvl w:val="0"/>
          <w:numId w:val="3"/>
        </w:numPr>
        <w:spacing w:before="240"/>
      </w:pPr>
      <w:r>
        <w:t>Aracı doğrudan web sitesinde (çevrimiçi) kullanın.</w:t>
      </w:r>
    </w:p>
    <w:p w14:paraId="3BC4B766" w14:textId="77777777" w:rsidR="00AB5509" w:rsidRDefault="00000000">
      <w:pPr>
        <w:numPr>
          <w:ilvl w:val="0"/>
          <w:numId w:val="3"/>
        </w:numPr>
      </w:pPr>
      <w:r>
        <w:t>Çevrimdışı kullanım için HTML formatında bir ZIP dosyası indirin.</w:t>
      </w:r>
    </w:p>
    <w:p w14:paraId="04BC8E16" w14:textId="77777777" w:rsidR="00AB5509" w:rsidRDefault="00000000">
      <w:pPr>
        <w:numPr>
          <w:ilvl w:val="0"/>
          <w:numId w:val="3"/>
        </w:numPr>
        <w:spacing w:after="480"/>
      </w:pPr>
      <w:r>
        <w:t>Çevrimdışı kullanım için Excel formatında bir ZIP dosyası indirin.</w:t>
      </w:r>
    </w:p>
    <w:p w14:paraId="50A3A726" w14:textId="77777777" w:rsidR="00AB5509" w:rsidRDefault="00000000">
      <w:pPr>
        <w:shd w:val="clear" w:color="auto" w:fill="FEFEFE"/>
        <w:spacing w:after="240"/>
        <w:rPr>
          <w:b/>
        </w:rPr>
      </w:pPr>
      <w:r>
        <w:t xml:space="preserve">Adım 1: </w:t>
      </w:r>
      <w:r>
        <w:rPr>
          <w:b/>
        </w:rPr>
        <w:t>Ürününüzü seçin</w:t>
      </w:r>
    </w:p>
    <w:p w14:paraId="31504FBF" w14:textId="77777777" w:rsidR="00AB5509" w:rsidRDefault="00000000">
      <w:pPr>
        <w:shd w:val="clear" w:color="auto" w:fill="FEFEFE"/>
        <w:spacing w:after="240"/>
      </w:pPr>
      <w:r>
        <w:t>Araç, bir gıda ürünü (örneğin muz) gibi bilindik bir ürünle başlamayı öneriyor. Bu, başlangıçtaki keşfi öğrenciler için daha ilişkilendirilebilir hale getiriyor.</w:t>
      </w:r>
    </w:p>
    <w:p w14:paraId="71101E49" w14:textId="77777777" w:rsidR="00AB5509" w:rsidRDefault="00AB5509">
      <w:pPr>
        <w:shd w:val="clear" w:color="auto" w:fill="FEFEFE"/>
        <w:spacing w:after="240"/>
      </w:pPr>
      <w:hyperlink r:id="rId7">
        <w:r>
          <w:rPr>
            <w:color w:val="0000EE"/>
            <w:u w:val="single"/>
          </w:rPr>
          <w:t xml:space="preserve">Dünyaya muz nasıl </w:t>
        </w:r>
        <w:proofErr w:type="gramStart"/>
        <w:r>
          <w:rPr>
            <w:color w:val="0000EE"/>
            <w:u w:val="single"/>
          </w:rPr>
          <w:t>hazırlanır -</w:t>
        </w:r>
        <w:proofErr w:type="gramEnd"/>
        <w:r>
          <w:rPr>
            <w:color w:val="0000EE"/>
            <w:u w:val="single"/>
          </w:rPr>
          <w:t xml:space="preserve"> Bir Ekvador hikayesi</w:t>
        </w:r>
      </w:hyperlink>
      <w:r w:rsidR="00000000">
        <w:t xml:space="preserve"> </w:t>
      </w:r>
    </w:p>
    <w:p w14:paraId="1266D6CD" w14:textId="77777777" w:rsidR="00AB5509" w:rsidRDefault="00AB5509">
      <w:pPr>
        <w:shd w:val="clear" w:color="auto" w:fill="FEFEFE"/>
        <w:spacing w:after="240"/>
      </w:pPr>
    </w:p>
    <w:p w14:paraId="0E4B28C1" w14:textId="77777777" w:rsidR="00AB5509" w:rsidRDefault="00AB5509">
      <w:pPr>
        <w:shd w:val="clear" w:color="auto" w:fill="FEFEFE"/>
        <w:spacing w:after="240"/>
      </w:pPr>
    </w:p>
    <w:p w14:paraId="74672304" w14:textId="77777777" w:rsidR="00AB5509" w:rsidRDefault="00AB5509">
      <w:pPr>
        <w:shd w:val="clear" w:color="auto" w:fill="FEFEFE"/>
        <w:spacing w:after="240"/>
      </w:pPr>
    </w:p>
    <w:p w14:paraId="33B7456B" w14:textId="77777777" w:rsidR="00AB5509" w:rsidRDefault="00000000">
      <w:pPr>
        <w:shd w:val="clear" w:color="auto" w:fill="FEFEFE"/>
        <w:spacing w:after="240"/>
        <w:rPr>
          <w:b/>
        </w:rPr>
      </w:pPr>
      <w:r>
        <w:t xml:space="preserve">Adım 2: </w:t>
      </w:r>
      <w:r>
        <w:rPr>
          <w:b/>
        </w:rPr>
        <w:t>Araştırma ve ulaşım emisyonlarının girdisi</w:t>
      </w:r>
    </w:p>
    <w:p w14:paraId="18EEE22E" w14:textId="77777777" w:rsidR="00AB5509" w:rsidRDefault="00000000">
      <w:pPr>
        <w:shd w:val="clear" w:color="auto" w:fill="FEFEFE"/>
        <w:spacing w:after="240"/>
      </w:pPr>
      <w:r>
        <w:t>Emisyon verileri belirli taşıma türlerine ve belirli araç özelliklerine göre değişebilir. Tahmini emisyon değerlerini bulmak ve bunları Navlun Hesaplayıcısına manuel olarak girmek için çevrimiçi kaynaklara başvurun. Bununla birlikte, araç önerilenler arasında farklı kaynaklardan alınan bir ortalamaya dayalı değerler önerir.</w:t>
      </w:r>
    </w:p>
    <w:p w14:paraId="1F67BD0E" w14:textId="77777777" w:rsidR="00AB5509" w:rsidRDefault="00AB5509">
      <w:pPr>
        <w:shd w:val="clear" w:color="auto" w:fill="FEFEFE"/>
        <w:spacing w:after="240"/>
      </w:pPr>
    </w:p>
    <w:p w14:paraId="69CC7A5B" w14:textId="77777777" w:rsidR="00AB5509" w:rsidRDefault="00000000">
      <w:pPr>
        <w:shd w:val="clear" w:color="auto" w:fill="FEFEFE"/>
        <w:spacing w:after="240"/>
        <w:rPr>
          <w:b/>
        </w:rPr>
      </w:pPr>
      <w:r>
        <w:t>Önerimiz:</w:t>
      </w:r>
    </w:p>
    <w:p w14:paraId="647EDEB5" w14:textId="77777777" w:rsidR="00AB5509" w:rsidRDefault="00AB5509">
      <w:pPr>
        <w:numPr>
          <w:ilvl w:val="0"/>
          <w:numId w:val="4"/>
        </w:numPr>
        <w:shd w:val="clear" w:color="auto" w:fill="FEFEFE"/>
      </w:pPr>
      <w:hyperlink r:id="rId8">
        <w:r>
          <w:rPr>
            <w:color w:val="1155CC"/>
            <w:u w:val="single"/>
          </w:rPr>
          <w:t xml:space="preserve">AB'deki kamyonlardan kaynaklanan CO2 emisyonları: Ağır hizmet tipi CO2 standartları temel verilerinin </w:t>
        </w:r>
        <w:proofErr w:type="gramStart"/>
        <w:r>
          <w:rPr>
            <w:color w:val="1155CC"/>
            <w:u w:val="single"/>
          </w:rPr>
          <w:t>analizi -</w:t>
        </w:r>
        <w:proofErr w:type="gramEnd"/>
        <w:r>
          <w:rPr>
            <w:color w:val="1155CC"/>
            <w:u w:val="single"/>
          </w:rPr>
          <w:t xml:space="preserve"> Uluslararası Temiz Taşımacılık Konseyi (theicct.org)</w:t>
        </w:r>
      </w:hyperlink>
    </w:p>
    <w:p w14:paraId="7232A3F0" w14:textId="77777777" w:rsidR="00AB5509" w:rsidRDefault="00AB5509">
      <w:pPr>
        <w:numPr>
          <w:ilvl w:val="0"/>
          <w:numId w:val="4"/>
        </w:numPr>
        <w:shd w:val="clear" w:color="auto" w:fill="FEFEFE"/>
      </w:pPr>
      <w:hyperlink r:id="rId9" w:anchor=":~:text=Emissions%20from%20train%20travel%20The%20calculator%20uses%20a,and%20passenger%20load%20%28ranging%20from%2044%25%20to%2068%25%29.">
        <w:r>
          <w:rPr>
            <w:color w:val="1155CC"/>
            <w:u w:val="single"/>
          </w:rPr>
          <w:t>Tren yolculuğundan kaynaklanan emisyonlar (carbonindependent.org)</w:t>
        </w:r>
      </w:hyperlink>
    </w:p>
    <w:p w14:paraId="1BC81464" w14:textId="77777777" w:rsidR="00AB5509" w:rsidRDefault="00AB5509">
      <w:pPr>
        <w:numPr>
          <w:ilvl w:val="0"/>
          <w:numId w:val="4"/>
        </w:numPr>
        <w:shd w:val="clear" w:color="auto" w:fill="FEFEFE"/>
      </w:pPr>
      <w:hyperlink r:id="rId10">
        <w:r>
          <w:rPr>
            <w:color w:val="1155CC"/>
            <w:u w:val="single"/>
          </w:rPr>
          <w:t>https://ec.europa.eu/info/funding-tenders/opportunities/docs/2021-2027/innovfund/other/ghg-calculator-ccs_innovfund-lsc_v2.0_en.xlsx</w:t>
        </w:r>
      </w:hyperlink>
    </w:p>
    <w:p w14:paraId="65C310E0" w14:textId="77777777" w:rsidR="00AB5509" w:rsidRDefault="00AB5509">
      <w:pPr>
        <w:numPr>
          <w:ilvl w:val="0"/>
          <w:numId w:val="4"/>
        </w:numPr>
        <w:shd w:val="clear" w:color="auto" w:fill="FEFEFE"/>
        <w:spacing w:after="240"/>
      </w:pPr>
      <w:hyperlink r:id="rId11">
        <w:r>
          <w:rPr>
            <w:color w:val="1155CC"/>
            <w:u w:val="single"/>
          </w:rPr>
          <w:t xml:space="preserve">Taşıma Emisyon Faktörleri | </w:t>
        </w:r>
        <w:proofErr w:type="spellStart"/>
        <w:r>
          <w:rPr>
            <w:color w:val="1155CC"/>
            <w:u w:val="single"/>
          </w:rPr>
          <w:t>Climatiq</w:t>
        </w:r>
        <w:proofErr w:type="spellEnd"/>
      </w:hyperlink>
    </w:p>
    <w:p w14:paraId="076B4555" w14:textId="77777777" w:rsidR="00AB5509" w:rsidRDefault="00AB5509">
      <w:pPr>
        <w:shd w:val="clear" w:color="auto" w:fill="FEFEFE"/>
        <w:spacing w:after="240"/>
      </w:pPr>
    </w:p>
    <w:p w14:paraId="394F8D32" w14:textId="77777777" w:rsidR="00AB5509" w:rsidRDefault="00000000">
      <w:pPr>
        <w:shd w:val="clear" w:color="auto" w:fill="FEFEFE"/>
        <w:spacing w:after="240"/>
        <w:rPr>
          <w:b/>
        </w:rPr>
      </w:pPr>
      <w:r>
        <w:t xml:space="preserve">Adım 3: </w:t>
      </w:r>
      <w:r>
        <w:rPr>
          <w:b/>
        </w:rPr>
        <w:t>Nakliye rotasını tanımlayın</w:t>
      </w:r>
    </w:p>
    <w:p w14:paraId="3BE87D4C" w14:textId="77777777" w:rsidR="00AB5509" w:rsidRDefault="00000000">
      <w:pPr>
        <w:shd w:val="clear" w:color="auto" w:fill="FEFEFE"/>
        <w:spacing w:after="240"/>
        <w:rPr>
          <w:b/>
        </w:rPr>
      </w:pPr>
      <w:r>
        <w:t xml:space="preserve">Örneğin, </w:t>
      </w:r>
      <w:proofErr w:type="spellStart"/>
      <w:r>
        <w:t>Quito</w:t>
      </w:r>
      <w:proofErr w:type="spellEnd"/>
      <w:r>
        <w:t xml:space="preserve"> (Ekvador) ile Berlin (Almanya) arasında seçim yapabilirsiniz</w:t>
      </w:r>
    </w:p>
    <w:p w14:paraId="611BA70C" w14:textId="77777777" w:rsidR="00AB5509" w:rsidRDefault="00AB5509">
      <w:pPr>
        <w:shd w:val="clear" w:color="auto" w:fill="FEFEFE"/>
        <w:spacing w:after="240"/>
      </w:pPr>
    </w:p>
    <w:p w14:paraId="7CE45A69" w14:textId="77777777" w:rsidR="00AB5509" w:rsidRDefault="00000000">
      <w:pPr>
        <w:shd w:val="clear" w:color="auto" w:fill="FEFEFE"/>
        <w:spacing w:after="240"/>
        <w:rPr>
          <w:b/>
        </w:rPr>
      </w:pPr>
      <w:r>
        <w:t xml:space="preserve">Adım 4: </w:t>
      </w:r>
      <w:r>
        <w:rPr>
          <w:b/>
        </w:rPr>
        <w:t>Gönderi ağırlığını tanımlayın</w:t>
      </w:r>
    </w:p>
    <w:p w14:paraId="5F6D734A" w14:textId="77777777" w:rsidR="00AB5509" w:rsidRDefault="00AB5509">
      <w:pPr>
        <w:shd w:val="clear" w:color="auto" w:fill="FEFEFE"/>
        <w:spacing w:after="240"/>
      </w:pPr>
    </w:p>
    <w:p w14:paraId="04ECD58C" w14:textId="77777777" w:rsidR="00AB5509" w:rsidRDefault="00000000">
      <w:pPr>
        <w:shd w:val="clear" w:color="auto" w:fill="FEFEFE"/>
        <w:spacing w:after="240"/>
      </w:pPr>
      <w:r>
        <w:t xml:space="preserve">Adım 5: </w:t>
      </w:r>
      <w:r>
        <w:rPr>
          <w:b/>
        </w:rPr>
        <w:t>Taşıma modunu (veya kombinasyonunu) seçin</w:t>
      </w:r>
    </w:p>
    <w:p w14:paraId="0CC91269" w14:textId="77777777" w:rsidR="00AB5509" w:rsidRDefault="00000000">
      <w:pPr>
        <w:shd w:val="clear" w:color="auto" w:fill="FEFEFE"/>
        <w:spacing w:after="240"/>
      </w:pPr>
      <w:r>
        <w:t>Navlun Hesaplayıcısı, kamyonlar, kargo gemileri, uçaklar veya trenler gibi farklı seçenekleri değerlendirmenize olanak tanır. Seçtiğiniz rotaya bağlı olarak, birden fazla ulaşım modunu birleştirmeniz gerekebilir.</w:t>
      </w:r>
    </w:p>
    <w:p w14:paraId="18D4029D" w14:textId="77777777" w:rsidR="00AB5509" w:rsidRDefault="00AB5509">
      <w:pPr>
        <w:shd w:val="clear" w:color="auto" w:fill="FEFEFE"/>
        <w:spacing w:after="240"/>
      </w:pPr>
      <w:hyperlink r:id="rId12">
        <w:r>
          <w:rPr>
            <w:color w:val="1155CC"/>
            <w:u w:val="single"/>
          </w:rPr>
          <w:t xml:space="preserve">Kargo </w:t>
        </w:r>
        <w:proofErr w:type="spellStart"/>
        <w:r>
          <w:rPr>
            <w:color w:val="1155CC"/>
            <w:u w:val="single"/>
          </w:rPr>
          <w:t>Hesaplayıcısı'nı</w:t>
        </w:r>
        <w:proofErr w:type="spellEnd"/>
        <w:r>
          <w:rPr>
            <w:color w:val="1155CC"/>
            <w:u w:val="single"/>
          </w:rPr>
          <w:t xml:space="preserve"> </w:t>
        </w:r>
      </w:hyperlink>
      <w:r w:rsidR="00000000">
        <w:t xml:space="preserve">ziyaret </w:t>
      </w:r>
      <w:proofErr w:type="gramStart"/>
      <w:r w:rsidR="00000000">
        <w:t>edebilirsiniz .</w:t>
      </w:r>
      <w:proofErr w:type="gramEnd"/>
      <w:r w:rsidR="00000000">
        <w:t xml:space="preserve"> Örneğin, </w:t>
      </w:r>
      <w:proofErr w:type="spellStart"/>
      <w:r w:rsidR="00000000">
        <w:t>Quito'dan</w:t>
      </w:r>
      <w:proofErr w:type="spellEnd"/>
      <w:r w:rsidR="00000000">
        <w:t xml:space="preserve"> Berlin'e muz taşımak için kamyon, kargo gemisi ve tekrar kamyon kombinasyonunu önerebilir. Yolculuğun her bir ayağı için (kamyon + gemi + kamyon) toplam mesafeleri hesaba katmanız ve tam mesafeyi hesaplamanız gerekecektir.</w:t>
      </w:r>
    </w:p>
    <w:p w14:paraId="18750AEB" w14:textId="77777777" w:rsidR="00AB5509" w:rsidRDefault="00AB5509">
      <w:pPr>
        <w:shd w:val="clear" w:color="auto" w:fill="FEFEFE"/>
        <w:spacing w:after="240"/>
      </w:pPr>
    </w:p>
    <w:p w14:paraId="5D309097" w14:textId="77777777" w:rsidR="00AB5509" w:rsidRDefault="00AB5509">
      <w:pPr>
        <w:shd w:val="clear" w:color="auto" w:fill="FEFEFE"/>
        <w:spacing w:after="240"/>
      </w:pPr>
    </w:p>
    <w:p w14:paraId="2B27EC0A" w14:textId="77777777" w:rsidR="00AB5509" w:rsidRDefault="00AB5509">
      <w:pPr>
        <w:shd w:val="clear" w:color="auto" w:fill="FEFEFE"/>
        <w:spacing w:after="240"/>
      </w:pPr>
    </w:p>
    <w:p w14:paraId="359706C9" w14:textId="77777777" w:rsidR="00AB5509" w:rsidRDefault="00000000">
      <w:pPr>
        <w:shd w:val="clear" w:color="auto" w:fill="FEFEFE"/>
        <w:spacing w:after="240"/>
        <w:jc w:val="center"/>
        <w:rPr>
          <w:sz w:val="20"/>
          <w:szCs w:val="20"/>
        </w:rPr>
      </w:pPr>
      <w:r>
        <w:rPr>
          <w:noProof/>
          <w:sz w:val="20"/>
          <w:szCs w:val="20"/>
        </w:rPr>
        <w:drawing>
          <wp:anchor distT="114300" distB="114300" distL="114300" distR="114300" simplePos="0" relativeHeight="251658240" behindDoc="0" locked="0" layoutInCell="1" hidden="0" allowOverlap="1" wp14:anchorId="7DEF09BF" wp14:editId="5655E7F6">
            <wp:simplePos x="0" y="0"/>
            <wp:positionH relativeFrom="margin">
              <wp:align>center</wp:align>
            </wp:positionH>
            <wp:positionV relativeFrom="margin">
              <wp:posOffset>644339</wp:posOffset>
            </wp:positionV>
            <wp:extent cx="6327648" cy="1512326"/>
            <wp:effectExtent l="0" t="0" r="0" b="0"/>
            <wp:wrapTopAndBottom distT="114300" distB="114300"/>
            <wp:docPr id="5"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3"/>
                    <a:srcRect/>
                    <a:stretch>
                      <a:fillRect/>
                    </a:stretch>
                  </pic:blipFill>
                  <pic:spPr>
                    <a:xfrm>
                      <a:off x="0" y="0"/>
                      <a:ext cx="6327648" cy="1512326"/>
                    </a:xfrm>
                    <a:prstGeom prst="rect">
                      <a:avLst/>
                    </a:prstGeom>
                    <a:ln/>
                  </pic:spPr>
                </pic:pic>
              </a:graphicData>
            </a:graphic>
          </wp:anchor>
        </w:drawing>
      </w:r>
    </w:p>
    <w:p w14:paraId="7DEC2DF9" w14:textId="77777777" w:rsidR="00AB5509" w:rsidRDefault="00000000">
      <w:pPr>
        <w:shd w:val="clear" w:color="auto" w:fill="FEFEFE"/>
        <w:spacing w:after="240"/>
        <w:rPr>
          <w:sz w:val="20"/>
          <w:szCs w:val="20"/>
        </w:rPr>
      </w:pPr>
      <w:r>
        <w:rPr>
          <w:noProof/>
          <w:sz w:val="20"/>
          <w:szCs w:val="20"/>
        </w:rPr>
        <w:drawing>
          <wp:anchor distT="114300" distB="114300" distL="114300" distR="114300" simplePos="0" relativeHeight="251659264" behindDoc="0" locked="0" layoutInCell="1" hidden="0" allowOverlap="1" wp14:anchorId="38B0A0B5" wp14:editId="6B121F83">
            <wp:simplePos x="0" y="0"/>
            <wp:positionH relativeFrom="margin">
              <wp:align>center</wp:align>
            </wp:positionH>
            <wp:positionV relativeFrom="margin">
              <wp:posOffset>2811467</wp:posOffset>
            </wp:positionV>
            <wp:extent cx="4096512" cy="3179941"/>
            <wp:effectExtent l="0" t="0" r="0" b="0"/>
            <wp:wrapTopAndBottom distT="114300" distB="114300"/>
            <wp:docPr id="4"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4"/>
                    <a:srcRect/>
                    <a:stretch>
                      <a:fillRect/>
                    </a:stretch>
                  </pic:blipFill>
                  <pic:spPr>
                    <a:xfrm>
                      <a:off x="0" y="0"/>
                      <a:ext cx="4096512" cy="3179941"/>
                    </a:xfrm>
                    <a:prstGeom prst="rect">
                      <a:avLst/>
                    </a:prstGeom>
                    <a:ln/>
                  </pic:spPr>
                </pic:pic>
              </a:graphicData>
            </a:graphic>
          </wp:anchor>
        </w:drawing>
      </w:r>
    </w:p>
    <w:p w14:paraId="68ACAB4E" w14:textId="77777777" w:rsidR="00AB5509" w:rsidRDefault="00AB5509">
      <w:pPr>
        <w:shd w:val="clear" w:color="auto" w:fill="FEFEFE"/>
        <w:spacing w:after="240"/>
        <w:rPr>
          <w:sz w:val="20"/>
          <w:szCs w:val="20"/>
        </w:rPr>
      </w:pPr>
    </w:p>
    <w:p w14:paraId="4334C74C" w14:textId="77777777" w:rsidR="00AB5509" w:rsidRDefault="00AB5509">
      <w:pPr>
        <w:shd w:val="clear" w:color="auto" w:fill="FEFEFE"/>
        <w:spacing w:after="240"/>
        <w:rPr>
          <w:sz w:val="20"/>
          <w:szCs w:val="20"/>
        </w:rPr>
      </w:pPr>
    </w:p>
    <w:p w14:paraId="5ACE8107" w14:textId="77777777" w:rsidR="00AB5509" w:rsidRDefault="00AB5509">
      <w:pPr>
        <w:shd w:val="clear" w:color="auto" w:fill="FEFEFE"/>
        <w:spacing w:after="240"/>
        <w:rPr>
          <w:sz w:val="20"/>
          <w:szCs w:val="20"/>
        </w:rPr>
      </w:pPr>
    </w:p>
    <w:p w14:paraId="3F38E241" w14:textId="77777777" w:rsidR="00AB5509" w:rsidRDefault="00000000">
      <w:pPr>
        <w:shd w:val="clear" w:color="auto" w:fill="FEFEFE"/>
        <w:spacing w:after="240"/>
        <w:rPr>
          <w:b/>
          <w:sz w:val="26"/>
          <w:szCs w:val="26"/>
        </w:rPr>
      </w:pPr>
      <w:r>
        <w:rPr>
          <w:b/>
          <w:sz w:val="26"/>
          <w:szCs w:val="26"/>
        </w:rPr>
        <w:t>Senaryo 1:</w:t>
      </w:r>
    </w:p>
    <w:tbl>
      <w:tblPr>
        <w:tblStyle w:val="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AB5509" w14:paraId="0B15B9C7" w14:textId="77777777">
        <w:tc>
          <w:tcPr>
            <w:tcW w:w="9360" w:type="dxa"/>
            <w:shd w:val="clear" w:color="auto" w:fill="FFF2CC"/>
            <w:tcMar>
              <w:top w:w="100" w:type="dxa"/>
              <w:left w:w="100" w:type="dxa"/>
              <w:bottom w:w="100" w:type="dxa"/>
              <w:right w:w="100" w:type="dxa"/>
            </w:tcMar>
          </w:tcPr>
          <w:p w14:paraId="044CA2FF" w14:textId="77777777" w:rsidR="00AB5509" w:rsidRDefault="00000000">
            <w:pPr>
              <w:widowControl w:val="0"/>
              <w:pBdr>
                <w:top w:val="nil"/>
                <w:left w:val="nil"/>
                <w:bottom w:val="nil"/>
                <w:right w:val="nil"/>
                <w:between w:val="nil"/>
              </w:pBdr>
              <w:spacing w:line="240" w:lineRule="auto"/>
              <w:jc w:val="center"/>
              <w:rPr>
                <w:b/>
                <w:sz w:val="20"/>
                <w:szCs w:val="20"/>
              </w:rPr>
            </w:pPr>
            <w:proofErr w:type="gramStart"/>
            <w:r>
              <w:rPr>
                <w:b/>
                <w:sz w:val="20"/>
                <w:szCs w:val="20"/>
              </w:rPr>
              <w:t>muzlar</w:t>
            </w:r>
            <w:proofErr w:type="gramEnd"/>
          </w:p>
        </w:tc>
      </w:tr>
    </w:tbl>
    <w:p w14:paraId="5B84B00D" w14:textId="77777777" w:rsidR="00AB5509" w:rsidRDefault="00AB5509">
      <w:pPr>
        <w:shd w:val="clear" w:color="auto" w:fill="FEFEFE"/>
        <w:spacing w:after="240"/>
        <w:rPr>
          <w:sz w:val="20"/>
          <w:szCs w:val="20"/>
        </w:rPr>
      </w:pPr>
    </w:p>
    <w:tbl>
      <w:tblPr>
        <w:tblStyle w:val="a0"/>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80"/>
        <w:gridCol w:w="4680"/>
      </w:tblGrid>
      <w:tr w:rsidR="00AB5509" w14:paraId="266CFC74" w14:textId="77777777">
        <w:trPr>
          <w:tblHeader/>
        </w:trPr>
        <w:tc>
          <w:tcPr>
            <w:tcW w:w="4680" w:type="dxa"/>
            <w:shd w:val="clear" w:color="auto" w:fill="D9D9D9"/>
            <w:tcMar>
              <w:top w:w="100" w:type="dxa"/>
              <w:left w:w="100" w:type="dxa"/>
              <w:bottom w:w="100" w:type="dxa"/>
              <w:right w:w="100" w:type="dxa"/>
            </w:tcMar>
          </w:tcPr>
          <w:p w14:paraId="0C62DBBC" w14:textId="77777777" w:rsidR="00AB5509" w:rsidRDefault="00000000">
            <w:pPr>
              <w:widowControl w:val="0"/>
              <w:pBdr>
                <w:top w:val="nil"/>
                <w:left w:val="nil"/>
                <w:bottom w:val="nil"/>
                <w:right w:val="nil"/>
                <w:between w:val="nil"/>
              </w:pBdr>
              <w:spacing w:line="240" w:lineRule="auto"/>
              <w:rPr>
                <w:sz w:val="20"/>
                <w:szCs w:val="20"/>
              </w:rPr>
            </w:pPr>
            <w:r>
              <w:rPr>
                <w:sz w:val="20"/>
                <w:szCs w:val="20"/>
              </w:rPr>
              <w:t>Kökeni</w:t>
            </w:r>
          </w:p>
        </w:tc>
        <w:tc>
          <w:tcPr>
            <w:tcW w:w="4680" w:type="dxa"/>
            <w:shd w:val="clear" w:color="auto" w:fill="D9D9D9"/>
            <w:tcMar>
              <w:top w:w="100" w:type="dxa"/>
              <w:left w:w="100" w:type="dxa"/>
              <w:bottom w:w="100" w:type="dxa"/>
              <w:right w:w="100" w:type="dxa"/>
            </w:tcMar>
          </w:tcPr>
          <w:p w14:paraId="47947C2F" w14:textId="77777777" w:rsidR="00AB5509" w:rsidRDefault="00000000">
            <w:pPr>
              <w:widowControl w:val="0"/>
              <w:pBdr>
                <w:top w:val="nil"/>
                <w:left w:val="nil"/>
                <w:bottom w:val="nil"/>
                <w:right w:val="nil"/>
                <w:between w:val="nil"/>
              </w:pBdr>
              <w:spacing w:line="240" w:lineRule="auto"/>
              <w:rPr>
                <w:sz w:val="20"/>
                <w:szCs w:val="20"/>
              </w:rPr>
            </w:pPr>
            <w:r>
              <w:rPr>
                <w:sz w:val="20"/>
                <w:szCs w:val="20"/>
              </w:rPr>
              <w:t>Varış noktası</w:t>
            </w:r>
          </w:p>
        </w:tc>
      </w:tr>
      <w:tr w:rsidR="00AB5509" w14:paraId="374AFF66" w14:textId="77777777">
        <w:tc>
          <w:tcPr>
            <w:tcW w:w="4680" w:type="dxa"/>
            <w:shd w:val="clear" w:color="auto" w:fill="auto"/>
            <w:tcMar>
              <w:top w:w="100" w:type="dxa"/>
              <w:left w:w="100" w:type="dxa"/>
              <w:bottom w:w="100" w:type="dxa"/>
              <w:right w:w="100" w:type="dxa"/>
            </w:tcMar>
          </w:tcPr>
          <w:p w14:paraId="3E1DBEC4" w14:textId="77777777" w:rsidR="00AB5509" w:rsidRDefault="00000000">
            <w:pPr>
              <w:widowControl w:val="0"/>
              <w:pBdr>
                <w:top w:val="nil"/>
                <w:left w:val="nil"/>
                <w:bottom w:val="nil"/>
                <w:right w:val="nil"/>
                <w:between w:val="nil"/>
              </w:pBdr>
              <w:spacing w:line="240" w:lineRule="auto"/>
              <w:rPr>
                <w:sz w:val="20"/>
                <w:szCs w:val="20"/>
              </w:rPr>
            </w:pPr>
            <w:proofErr w:type="spellStart"/>
            <w:r>
              <w:rPr>
                <w:sz w:val="20"/>
                <w:szCs w:val="20"/>
              </w:rPr>
              <w:t>Quito</w:t>
            </w:r>
            <w:proofErr w:type="spellEnd"/>
            <w:r>
              <w:rPr>
                <w:sz w:val="20"/>
                <w:szCs w:val="20"/>
              </w:rPr>
              <w:t xml:space="preserve"> (Ekvador)</w:t>
            </w:r>
          </w:p>
        </w:tc>
        <w:tc>
          <w:tcPr>
            <w:tcW w:w="4680" w:type="dxa"/>
            <w:shd w:val="clear" w:color="auto" w:fill="auto"/>
            <w:tcMar>
              <w:top w:w="100" w:type="dxa"/>
              <w:left w:w="100" w:type="dxa"/>
              <w:bottom w:w="100" w:type="dxa"/>
              <w:right w:w="100" w:type="dxa"/>
            </w:tcMar>
          </w:tcPr>
          <w:p w14:paraId="162C29C4" w14:textId="77777777" w:rsidR="00AB5509" w:rsidRDefault="00000000">
            <w:pPr>
              <w:widowControl w:val="0"/>
              <w:pBdr>
                <w:top w:val="nil"/>
                <w:left w:val="nil"/>
                <w:bottom w:val="nil"/>
                <w:right w:val="nil"/>
                <w:between w:val="nil"/>
              </w:pBdr>
              <w:spacing w:line="240" w:lineRule="auto"/>
              <w:rPr>
                <w:sz w:val="20"/>
                <w:szCs w:val="20"/>
              </w:rPr>
            </w:pPr>
            <w:r>
              <w:rPr>
                <w:sz w:val="20"/>
                <w:szCs w:val="20"/>
              </w:rPr>
              <w:t>Berlin (Almanya)</w:t>
            </w:r>
          </w:p>
        </w:tc>
      </w:tr>
    </w:tbl>
    <w:p w14:paraId="5334B290" w14:textId="77777777" w:rsidR="00AB5509" w:rsidRDefault="00AB5509">
      <w:pPr>
        <w:shd w:val="clear" w:color="auto" w:fill="FEFEFE"/>
        <w:spacing w:after="240"/>
        <w:rPr>
          <w:sz w:val="20"/>
          <w:szCs w:val="20"/>
        </w:rPr>
      </w:pPr>
    </w:p>
    <w:tbl>
      <w:tblPr>
        <w:tblStyle w:val="a1"/>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AB5509" w14:paraId="1C4246E3" w14:textId="77777777">
        <w:tc>
          <w:tcPr>
            <w:tcW w:w="9360" w:type="dxa"/>
            <w:shd w:val="clear" w:color="auto" w:fill="D9D9D9"/>
            <w:tcMar>
              <w:top w:w="100" w:type="dxa"/>
              <w:left w:w="100" w:type="dxa"/>
              <w:bottom w:w="100" w:type="dxa"/>
              <w:right w:w="100" w:type="dxa"/>
            </w:tcMar>
          </w:tcPr>
          <w:p w14:paraId="27B3153B" w14:textId="77777777" w:rsidR="00AB5509" w:rsidRDefault="00000000">
            <w:pPr>
              <w:widowControl w:val="0"/>
              <w:pBdr>
                <w:top w:val="nil"/>
                <w:left w:val="nil"/>
                <w:bottom w:val="nil"/>
                <w:right w:val="nil"/>
                <w:between w:val="nil"/>
              </w:pBdr>
              <w:spacing w:line="240" w:lineRule="auto"/>
              <w:jc w:val="center"/>
              <w:rPr>
                <w:sz w:val="20"/>
                <w:szCs w:val="20"/>
              </w:rPr>
            </w:pPr>
            <w:r>
              <w:rPr>
                <w:sz w:val="20"/>
                <w:szCs w:val="20"/>
              </w:rPr>
              <w:t>Ağırlık</w:t>
            </w:r>
          </w:p>
        </w:tc>
      </w:tr>
      <w:tr w:rsidR="00AB5509" w14:paraId="430FF474" w14:textId="77777777">
        <w:tc>
          <w:tcPr>
            <w:tcW w:w="9360" w:type="dxa"/>
            <w:tcMar>
              <w:top w:w="100" w:type="dxa"/>
              <w:left w:w="100" w:type="dxa"/>
              <w:bottom w:w="100" w:type="dxa"/>
              <w:right w:w="100" w:type="dxa"/>
            </w:tcMar>
          </w:tcPr>
          <w:p w14:paraId="35A62CC3" w14:textId="77777777" w:rsidR="00AB5509" w:rsidRDefault="00000000">
            <w:pPr>
              <w:widowControl w:val="0"/>
              <w:pBdr>
                <w:top w:val="nil"/>
                <w:left w:val="nil"/>
                <w:bottom w:val="nil"/>
                <w:right w:val="nil"/>
                <w:between w:val="nil"/>
              </w:pBdr>
              <w:spacing w:line="240" w:lineRule="auto"/>
              <w:jc w:val="center"/>
              <w:rPr>
                <w:b/>
                <w:sz w:val="20"/>
                <w:szCs w:val="20"/>
              </w:rPr>
            </w:pPr>
            <w:r>
              <w:rPr>
                <w:b/>
                <w:sz w:val="20"/>
                <w:szCs w:val="20"/>
              </w:rPr>
              <w:t>1,5 ton</w:t>
            </w:r>
          </w:p>
        </w:tc>
      </w:tr>
    </w:tbl>
    <w:p w14:paraId="5621E825" w14:textId="77777777" w:rsidR="00AB5509" w:rsidRDefault="00AB5509">
      <w:pPr>
        <w:shd w:val="clear" w:color="auto" w:fill="FEFEFE"/>
        <w:spacing w:after="240"/>
        <w:rPr>
          <w:sz w:val="20"/>
          <w:szCs w:val="20"/>
        </w:rPr>
      </w:pPr>
    </w:p>
    <w:tbl>
      <w:tblPr>
        <w:tblStyle w:val="a2"/>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580"/>
        <w:gridCol w:w="2430"/>
        <w:gridCol w:w="2205"/>
        <w:gridCol w:w="2145"/>
      </w:tblGrid>
      <w:tr w:rsidR="00AB5509" w14:paraId="22E8D4D5" w14:textId="77777777">
        <w:tc>
          <w:tcPr>
            <w:tcW w:w="2580" w:type="dxa"/>
            <w:shd w:val="clear" w:color="auto" w:fill="D9D9D9"/>
            <w:tcMar>
              <w:top w:w="100" w:type="dxa"/>
              <w:left w:w="100" w:type="dxa"/>
              <w:bottom w:w="100" w:type="dxa"/>
              <w:right w:w="100" w:type="dxa"/>
            </w:tcMar>
          </w:tcPr>
          <w:p w14:paraId="6DD3C3C2" w14:textId="77777777" w:rsidR="00AB5509" w:rsidRDefault="00000000">
            <w:pPr>
              <w:widowControl w:val="0"/>
              <w:pBdr>
                <w:top w:val="nil"/>
                <w:left w:val="nil"/>
                <w:bottom w:val="nil"/>
                <w:right w:val="nil"/>
                <w:between w:val="nil"/>
              </w:pBdr>
              <w:spacing w:line="240" w:lineRule="auto"/>
              <w:rPr>
                <w:sz w:val="20"/>
                <w:szCs w:val="20"/>
              </w:rPr>
            </w:pPr>
            <w:r>
              <w:rPr>
                <w:sz w:val="20"/>
                <w:szCs w:val="20"/>
              </w:rPr>
              <w:t>Başlangıç</w:t>
            </w:r>
          </w:p>
        </w:tc>
        <w:tc>
          <w:tcPr>
            <w:tcW w:w="2430" w:type="dxa"/>
            <w:shd w:val="clear" w:color="auto" w:fill="D9D9D9"/>
            <w:tcMar>
              <w:top w:w="100" w:type="dxa"/>
              <w:left w:w="100" w:type="dxa"/>
              <w:bottom w:w="100" w:type="dxa"/>
              <w:right w:w="100" w:type="dxa"/>
            </w:tcMar>
          </w:tcPr>
          <w:p w14:paraId="7009CE07" w14:textId="77777777" w:rsidR="00AB5509" w:rsidRDefault="00000000">
            <w:pPr>
              <w:widowControl w:val="0"/>
              <w:pBdr>
                <w:top w:val="nil"/>
                <w:left w:val="nil"/>
                <w:bottom w:val="nil"/>
                <w:right w:val="nil"/>
                <w:between w:val="nil"/>
              </w:pBdr>
              <w:spacing w:line="240" w:lineRule="auto"/>
              <w:rPr>
                <w:sz w:val="20"/>
                <w:szCs w:val="20"/>
              </w:rPr>
            </w:pPr>
            <w:r>
              <w:rPr>
                <w:sz w:val="20"/>
                <w:szCs w:val="20"/>
              </w:rPr>
              <w:t>Durmak</w:t>
            </w:r>
          </w:p>
        </w:tc>
        <w:tc>
          <w:tcPr>
            <w:tcW w:w="2205" w:type="dxa"/>
            <w:shd w:val="clear" w:color="auto" w:fill="D9D9D9"/>
            <w:tcMar>
              <w:top w:w="100" w:type="dxa"/>
              <w:left w:w="100" w:type="dxa"/>
              <w:bottom w:w="100" w:type="dxa"/>
              <w:right w:w="100" w:type="dxa"/>
            </w:tcMar>
          </w:tcPr>
          <w:p w14:paraId="4331D9C1" w14:textId="77777777" w:rsidR="00AB5509" w:rsidRDefault="00000000">
            <w:pPr>
              <w:widowControl w:val="0"/>
              <w:pBdr>
                <w:top w:val="nil"/>
                <w:left w:val="nil"/>
                <w:bottom w:val="nil"/>
                <w:right w:val="nil"/>
                <w:between w:val="nil"/>
              </w:pBdr>
              <w:spacing w:line="240" w:lineRule="auto"/>
              <w:rPr>
                <w:sz w:val="20"/>
                <w:szCs w:val="20"/>
              </w:rPr>
            </w:pPr>
            <w:r>
              <w:rPr>
                <w:sz w:val="20"/>
                <w:szCs w:val="20"/>
              </w:rPr>
              <w:t>Araç tipi</w:t>
            </w:r>
          </w:p>
        </w:tc>
        <w:tc>
          <w:tcPr>
            <w:tcW w:w="2145" w:type="dxa"/>
            <w:shd w:val="clear" w:color="auto" w:fill="D9D9D9"/>
            <w:tcMar>
              <w:top w:w="100" w:type="dxa"/>
              <w:left w:w="100" w:type="dxa"/>
              <w:bottom w:w="100" w:type="dxa"/>
              <w:right w:w="100" w:type="dxa"/>
            </w:tcMar>
          </w:tcPr>
          <w:p w14:paraId="6A7B9AA6" w14:textId="77777777" w:rsidR="00AB5509" w:rsidRDefault="00000000">
            <w:pPr>
              <w:widowControl w:val="0"/>
              <w:pBdr>
                <w:top w:val="nil"/>
                <w:left w:val="nil"/>
                <w:bottom w:val="nil"/>
                <w:right w:val="nil"/>
                <w:between w:val="nil"/>
              </w:pBdr>
              <w:spacing w:line="240" w:lineRule="auto"/>
              <w:rPr>
                <w:sz w:val="20"/>
                <w:szCs w:val="20"/>
              </w:rPr>
            </w:pPr>
            <w:r>
              <w:rPr>
                <w:sz w:val="20"/>
                <w:szCs w:val="20"/>
              </w:rPr>
              <w:t>Mesafe</w:t>
            </w:r>
          </w:p>
        </w:tc>
      </w:tr>
      <w:tr w:rsidR="00AB5509" w14:paraId="043C6976" w14:textId="77777777">
        <w:tc>
          <w:tcPr>
            <w:tcW w:w="2580" w:type="dxa"/>
            <w:shd w:val="clear" w:color="auto" w:fill="auto"/>
            <w:tcMar>
              <w:top w:w="100" w:type="dxa"/>
              <w:left w:w="100" w:type="dxa"/>
              <w:bottom w:w="100" w:type="dxa"/>
              <w:right w:w="100" w:type="dxa"/>
            </w:tcMar>
          </w:tcPr>
          <w:p w14:paraId="5939B2E3" w14:textId="77777777" w:rsidR="00AB5509" w:rsidRDefault="00000000">
            <w:pPr>
              <w:widowControl w:val="0"/>
              <w:pBdr>
                <w:top w:val="nil"/>
                <w:left w:val="nil"/>
                <w:bottom w:val="nil"/>
                <w:right w:val="nil"/>
                <w:between w:val="nil"/>
              </w:pBdr>
              <w:spacing w:line="240" w:lineRule="auto"/>
              <w:rPr>
                <w:sz w:val="20"/>
                <w:szCs w:val="20"/>
              </w:rPr>
            </w:pPr>
            <w:proofErr w:type="spellStart"/>
            <w:r>
              <w:rPr>
                <w:sz w:val="20"/>
                <w:szCs w:val="20"/>
              </w:rPr>
              <w:t>Quito</w:t>
            </w:r>
            <w:proofErr w:type="spellEnd"/>
            <w:r>
              <w:rPr>
                <w:sz w:val="20"/>
                <w:szCs w:val="20"/>
              </w:rPr>
              <w:t xml:space="preserve"> (Ekvador)</w:t>
            </w:r>
          </w:p>
        </w:tc>
        <w:tc>
          <w:tcPr>
            <w:tcW w:w="2430" w:type="dxa"/>
            <w:shd w:val="clear" w:color="auto" w:fill="auto"/>
            <w:tcMar>
              <w:top w:w="100" w:type="dxa"/>
              <w:left w:w="100" w:type="dxa"/>
              <w:bottom w:w="100" w:type="dxa"/>
              <w:right w:w="100" w:type="dxa"/>
            </w:tcMar>
          </w:tcPr>
          <w:p w14:paraId="1590A18F" w14:textId="77777777" w:rsidR="00AB5509" w:rsidRDefault="00000000">
            <w:pPr>
              <w:widowControl w:val="0"/>
              <w:pBdr>
                <w:top w:val="nil"/>
                <w:left w:val="nil"/>
                <w:bottom w:val="nil"/>
                <w:right w:val="nil"/>
                <w:between w:val="nil"/>
              </w:pBdr>
              <w:spacing w:line="240" w:lineRule="auto"/>
              <w:rPr>
                <w:sz w:val="20"/>
                <w:szCs w:val="20"/>
              </w:rPr>
            </w:pPr>
            <w:proofErr w:type="spellStart"/>
            <w:r>
              <w:rPr>
                <w:sz w:val="20"/>
                <w:szCs w:val="20"/>
              </w:rPr>
              <w:t>Esmeraldas</w:t>
            </w:r>
            <w:proofErr w:type="spellEnd"/>
            <w:r>
              <w:rPr>
                <w:sz w:val="20"/>
                <w:szCs w:val="20"/>
              </w:rPr>
              <w:t xml:space="preserve"> (Ekvador)</w:t>
            </w:r>
          </w:p>
        </w:tc>
        <w:tc>
          <w:tcPr>
            <w:tcW w:w="2205" w:type="dxa"/>
            <w:shd w:val="clear" w:color="auto" w:fill="auto"/>
            <w:tcMar>
              <w:top w:w="100" w:type="dxa"/>
              <w:left w:w="100" w:type="dxa"/>
              <w:bottom w:w="100" w:type="dxa"/>
              <w:right w:w="100" w:type="dxa"/>
            </w:tcMar>
          </w:tcPr>
          <w:p w14:paraId="68929E6C" w14:textId="77777777" w:rsidR="00AB5509" w:rsidRDefault="00000000">
            <w:pPr>
              <w:widowControl w:val="0"/>
              <w:pBdr>
                <w:top w:val="nil"/>
                <w:left w:val="nil"/>
                <w:bottom w:val="nil"/>
                <w:right w:val="nil"/>
                <w:between w:val="nil"/>
              </w:pBdr>
              <w:spacing w:line="240" w:lineRule="auto"/>
              <w:rPr>
                <w:sz w:val="20"/>
                <w:szCs w:val="20"/>
              </w:rPr>
            </w:pPr>
            <w:r>
              <w:rPr>
                <w:sz w:val="20"/>
                <w:szCs w:val="20"/>
              </w:rPr>
              <w:t>Kamyon</w:t>
            </w:r>
          </w:p>
        </w:tc>
        <w:tc>
          <w:tcPr>
            <w:tcW w:w="2145" w:type="dxa"/>
            <w:shd w:val="clear" w:color="auto" w:fill="auto"/>
            <w:tcMar>
              <w:top w:w="100" w:type="dxa"/>
              <w:left w:w="100" w:type="dxa"/>
              <w:bottom w:w="100" w:type="dxa"/>
              <w:right w:w="100" w:type="dxa"/>
            </w:tcMar>
          </w:tcPr>
          <w:p w14:paraId="5BD48D45" w14:textId="77777777" w:rsidR="00AB5509" w:rsidRDefault="00000000">
            <w:pPr>
              <w:widowControl w:val="0"/>
              <w:pBdr>
                <w:top w:val="nil"/>
                <w:left w:val="nil"/>
                <w:bottom w:val="nil"/>
                <w:right w:val="nil"/>
                <w:between w:val="nil"/>
              </w:pBdr>
              <w:spacing w:line="240" w:lineRule="auto"/>
              <w:jc w:val="right"/>
              <w:rPr>
                <w:sz w:val="20"/>
                <w:szCs w:val="20"/>
              </w:rPr>
            </w:pPr>
            <w:r>
              <w:rPr>
                <w:sz w:val="20"/>
                <w:szCs w:val="20"/>
              </w:rPr>
              <w:t>225.21 Km</w:t>
            </w:r>
          </w:p>
        </w:tc>
      </w:tr>
      <w:tr w:rsidR="00AB5509" w14:paraId="585ACF59" w14:textId="77777777">
        <w:tc>
          <w:tcPr>
            <w:tcW w:w="2580" w:type="dxa"/>
            <w:shd w:val="clear" w:color="auto" w:fill="auto"/>
            <w:tcMar>
              <w:top w:w="100" w:type="dxa"/>
              <w:left w:w="100" w:type="dxa"/>
              <w:bottom w:w="100" w:type="dxa"/>
              <w:right w:w="100" w:type="dxa"/>
            </w:tcMar>
          </w:tcPr>
          <w:p w14:paraId="1CA67BBB" w14:textId="77777777" w:rsidR="00AB5509" w:rsidRDefault="00000000">
            <w:pPr>
              <w:widowControl w:val="0"/>
              <w:spacing w:line="240" w:lineRule="auto"/>
              <w:rPr>
                <w:sz w:val="20"/>
                <w:szCs w:val="20"/>
              </w:rPr>
            </w:pPr>
            <w:proofErr w:type="spellStart"/>
            <w:r>
              <w:rPr>
                <w:sz w:val="20"/>
                <w:szCs w:val="20"/>
              </w:rPr>
              <w:t>Esmeraldas</w:t>
            </w:r>
            <w:proofErr w:type="spellEnd"/>
            <w:r>
              <w:rPr>
                <w:sz w:val="20"/>
                <w:szCs w:val="20"/>
              </w:rPr>
              <w:t xml:space="preserve"> (Ekvador)</w:t>
            </w:r>
          </w:p>
        </w:tc>
        <w:tc>
          <w:tcPr>
            <w:tcW w:w="2430" w:type="dxa"/>
            <w:shd w:val="clear" w:color="auto" w:fill="auto"/>
            <w:tcMar>
              <w:top w:w="100" w:type="dxa"/>
              <w:left w:w="100" w:type="dxa"/>
              <w:bottom w:w="100" w:type="dxa"/>
              <w:right w:w="100" w:type="dxa"/>
            </w:tcMar>
          </w:tcPr>
          <w:p w14:paraId="39E580B0" w14:textId="77777777" w:rsidR="00AB5509" w:rsidRDefault="00000000">
            <w:pPr>
              <w:widowControl w:val="0"/>
              <w:pBdr>
                <w:top w:val="nil"/>
                <w:left w:val="nil"/>
                <w:bottom w:val="nil"/>
                <w:right w:val="nil"/>
                <w:between w:val="nil"/>
              </w:pBdr>
              <w:spacing w:line="240" w:lineRule="auto"/>
              <w:rPr>
                <w:sz w:val="20"/>
                <w:szCs w:val="20"/>
              </w:rPr>
            </w:pPr>
            <w:proofErr w:type="spellStart"/>
            <w:r>
              <w:rPr>
                <w:sz w:val="20"/>
                <w:szCs w:val="20"/>
              </w:rPr>
              <w:t>Malmö</w:t>
            </w:r>
            <w:proofErr w:type="spellEnd"/>
            <w:r>
              <w:rPr>
                <w:sz w:val="20"/>
                <w:szCs w:val="20"/>
              </w:rPr>
              <w:t xml:space="preserve"> (İsveç)</w:t>
            </w:r>
          </w:p>
        </w:tc>
        <w:tc>
          <w:tcPr>
            <w:tcW w:w="2205" w:type="dxa"/>
            <w:shd w:val="clear" w:color="auto" w:fill="auto"/>
            <w:tcMar>
              <w:top w:w="100" w:type="dxa"/>
              <w:left w:w="100" w:type="dxa"/>
              <w:bottom w:w="100" w:type="dxa"/>
              <w:right w:w="100" w:type="dxa"/>
            </w:tcMar>
          </w:tcPr>
          <w:p w14:paraId="3486ABEA" w14:textId="77777777" w:rsidR="00AB5509" w:rsidRDefault="00000000">
            <w:pPr>
              <w:widowControl w:val="0"/>
              <w:pBdr>
                <w:top w:val="nil"/>
                <w:left w:val="nil"/>
                <w:bottom w:val="nil"/>
                <w:right w:val="nil"/>
                <w:between w:val="nil"/>
              </w:pBdr>
              <w:spacing w:line="240" w:lineRule="auto"/>
              <w:rPr>
                <w:sz w:val="20"/>
                <w:szCs w:val="20"/>
              </w:rPr>
            </w:pPr>
            <w:r>
              <w:rPr>
                <w:sz w:val="20"/>
                <w:szCs w:val="20"/>
              </w:rPr>
              <w:t>Gemi</w:t>
            </w:r>
          </w:p>
        </w:tc>
        <w:tc>
          <w:tcPr>
            <w:tcW w:w="2145" w:type="dxa"/>
            <w:shd w:val="clear" w:color="auto" w:fill="auto"/>
            <w:tcMar>
              <w:top w:w="100" w:type="dxa"/>
              <w:left w:w="100" w:type="dxa"/>
              <w:bottom w:w="100" w:type="dxa"/>
              <w:right w:w="100" w:type="dxa"/>
            </w:tcMar>
          </w:tcPr>
          <w:p w14:paraId="2D7E10E4" w14:textId="77777777" w:rsidR="00AB5509" w:rsidRDefault="00000000">
            <w:pPr>
              <w:widowControl w:val="0"/>
              <w:pBdr>
                <w:top w:val="nil"/>
                <w:left w:val="nil"/>
                <w:bottom w:val="nil"/>
                <w:right w:val="nil"/>
                <w:between w:val="nil"/>
              </w:pBdr>
              <w:spacing w:line="240" w:lineRule="auto"/>
              <w:jc w:val="right"/>
              <w:rPr>
                <w:sz w:val="20"/>
                <w:szCs w:val="20"/>
              </w:rPr>
            </w:pPr>
            <w:r>
              <w:rPr>
                <w:sz w:val="20"/>
                <w:szCs w:val="20"/>
              </w:rPr>
              <w:t>10880.4 Km</w:t>
            </w:r>
          </w:p>
        </w:tc>
      </w:tr>
      <w:tr w:rsidR="00AB5509" w14:paraId="407DDCF5" w14:textId="77777777">
        <w:tc>
          <w:tcPr>
            <w:tcW w:w="2580" w:type="dxa"/>
            <w:shd w:val="clear" w:color="auto" w:fill="auto"/>
            <w:tcMar>
              <w:top w:w="100" w:type="dxa"/>
              <w:left w:w="100" w:type="dxa"/>
              <w:bottom w:w="100" w:type="dxa"/>
              <w:right w:w="100" w:type="dxa"/>
            </w:tcMar>
          </w:tcPr>
          <w:p w14:paraId="2ED15EFA" w14:textId="77777777" w:rsidR="00AB5509" w:rsidRDefault="00000000">
            <w:pPr>
              <w:widowControl w:val="0"/>
              <w:pBdr>
                <w:top w:val="nil"/>
                <w:left w:val="nil"/>
                <w:bottom w:val="nil"/>
                <w:right w:val="nil"/>
                <w:between w:val="nil"/>
              </w:pBdr>
              <w:spacing w:line="240" w:lineRule="auto"/>
              <w:rPr>
                <w:sz w:val="20"/>
                <w:szCs w:val="20"/>
              </w:rPr>
            </w:pPr>
            <w:proofErr w:type="spellStart"/>
            <w:r>
              <w:rPr>
                <w:sz w:val="20"/>
                <w:szCs w:val="20"/>
              </w:rPr>
              <w:t>Malmö</w:t>
            </w:r>
            <w:proofErr w:type="spellEnd"/>
            <w:r>
              <w:rPr>
                <w:sz w:val="20"/>
                <w:szCs w:val="20"/>
              </w:rPr>
              <w:t xml:space="preserve"> (İsveç)</w:t>
            </w:r>
          </w:p>
        </w:tc>
        <w:tc>
          <w:tcPr>
            <w:tcW w:w="2430" w:type="dxa"/>
            <w:shd w:val="clear" w:color="auto" w:fill="auto"/>
            <w:tcMar>
              <w:top w:w="100" w:type="dxa"/>
              <w:left w:w="100" w:type="dxa"/>
              <w:bottom w:w="100" w:type="dxa"/>
              <w:right w:w="100" w:type="dxa"/>
            </w:tcMar>
          </w:tcPr>
          <w:p w14:paraId="313567E6" w14:textId="77777777" w:rsidR="00AB5509" w:rsidRDefault="00000000">
            <w:pPr>
              <w:widowControl w:val="0"/>
              <w:pBdr>
                <w:top w:val="nil"/>
                <w:left w:val="nil"/>
                <w:bottom w:val="nil"/>
                <w:right w:val="nil"/>
                <w:between w:val="nil"/>
              </w:pBdr>
              <w:spacing w:line="240" w:lineRule="auto"/>
              <w:rPr>
                <w:sz w:val="20"/>
                <w:szCs w:val="20"/>
              </w:rPr>
            </w:pPr>
            <w:r>
              <w:rPr>
                <w:sz w:val="20"/>
                <w:szCs w:val="20"/>
              </w:rPr>
              <w:t>Berlin (Almanya)</w:t>
            </w:r>
          </w:p>
        </w:tc>
        <w:tc>
          <w:tcPr>
            <w:tcW w:w="2205" w:type="dxa"/>
            <w:shd w:val="clear" w:color="auto" w:fill="auto"/>
            <w:tcMar>
              <w:top w:w="100" w:type="dxa"/>
              <w:left w:w="100" w:type="dxa"/>
              <w:bottom w:w="100" w:type="dxa"/>
              <w:right w:w="100" w:type="dxa"/>
            </w:tcMar>
          </w:tcPr>
          <w:p w14:paraId="68DFBC8B" w14:textId="77777777" w:rsidR="00AB5509" w:rsidRDefault="00000000">
            <w:pPr>
              <w:widowControl w:val="0"/>
              <w:pBdr>
                <w:top w:val="nil"/>
                <w:left w:val="nil"/>
                <w:bottom w:val="nil"/>
                <w:right w:val="nil"/>
                <w:between w:val="nil"/>
              </w:pBdr>
              <w:spacing w:line="240" w:lineRule="auto"/>
              <w:rPr>
                <w:sz w:val="20"/>
                <w:szCs w:val="20"/>
              </w:rPr>
            </w:pPr>
            <w:r>
              <w:rPr>
                <w:sz w:val="20"/>
                <w:szCs w:val="20"/>
              </w:rPr>
              <w:t>Kamyon</w:t>
            </w:r>
          </w:p>
        </w:tc>
        <w:tc>
          <w:tcPr>
            <w:tcW w:w="2145" w:type="dxa"/>
            <w:shd w:val="clear" w:color="auto" w:fill="auto"/>
            <w:tcMar>
              <w:top w:w="100" w:type="dxa"/>
              <w:left w:w="100" w:type="dxa"/>
              <w:bottom w:w="100" w:type="dxa"/>
              <w:right w:w="100" w:type="dxa"/>
            </w:tcMar>
          </w:tcPr>
          <w:p w14:paraId="6A51001A" w14:textId="77777777" w:rsidR="00AB5509" w:rsidRDefault="00000000">
            <w:pPr>
              <w:widowControl w:val="0"/>
              <w:pBdr>
                <w:top w:val="nil"/>
                <w:left w:val="nil"/>
                <w:bottom w:val="nil"/>
                <w:right w:val="nil"/>
                <w:between w:val="nil"/>
              </w:pBdr>
              <w:spacing w:line="240" w:lineRule="auto"/>
              <w:jc w:val="right"/>
              <w:rPr>
                <w:sz w:val="20"/>
                <w:szCs w:val="20"/>
              </w:rPr>
            </w:pPr>
            <w:r>
              <w:rPr>
                <w:sz w:val="20"/>
                <w:szCs w:val="20"/>
              </w:rPr>
              <w:t>713,75 Km</w:t>
            </w:r>
          </w:p>
        </w:tc>
      </w:tr>
    </w:tbl>
    <w:p w14:paraId="379271FB" w14:textId="77777777" w:rsidR="00AB5509" w:rsidRDefault="00AB5509">
      <w:pPr>
        <w:shd w:val="clear" w:color="auto" w:fill="FEFEFE"/>
        <w:spacing w:after="240"/>
        <w:rPr>
          <w:sz w:val="20"/>
          <w:szCs w:val="20"/>
        </w:rPr>
      </w:pPr>
    </w:p>
    <w:tbl>
      <w:tblPr>
        <w:tblStyle w:val="a3"/>
        <w:tblW w:w="93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80"/>
        <w:gridCol w:w="4650"/>
      </w:tblGrid>
      <w:tr w:rsidR="00AB5509" w14:paraId="0560FE6C" w14:textId="77777777">
        <w:trPr>
          <w:trHeight w:val="444"/>
          <w:tblHeader/>
        </w:trPr>
        <w:tc>
          <w:tcPr>
            <w:tcW w:w="4680" w:type="dxa"/>
            <w:shd w:val="clear" w:color="auto" w:fill="D9D9D9"/>
            <w:tcMar>
              <w:top w:w="100" w:type="dxa"/>
              <w:left w:w="100" w:type="dxa"/>
              <w:bottom w:w="100" w:type="dxa"/>
              <w:right w:w="100" w:type="dxa"/>
            </w:tcMar>
          </w:tcPr>
          <w:p w14:paraId="082B6EE6" w14:textId="77777777" w:rsidR="00AB5509" w:rsidRDefault="00000000">
            <w:pPr>
              <w:widowControl w:val="0"/>
              <w:pBdr>
                <w:top w:val="nil"/>
                <w:left w:val="nil"/>
                <w:bottom w:val="nil"/>
                <w:right w:val="nil"/>
                <w:between w:val="nil"/>
              </w:pBdr>
              <w:spacing w:line="240" w:lineRule="auto"/>
              <w:jc w:val="center"/>
              <w:rPr>
                <w:sz w:val="20"/>
                <w:szCs w:val="20"/>
              </w:rPr>
            </w:pPr>
            <w:r>
              <w:rPr>
                <w:sz w:val="20"/>
                <w:szCs w:val="20"/>
              </w:rPr>
              <w:t>Araç</w:t>
            </w:r>
          </w:p>
        </w:tc>
        <w:tc>
          <w:tcPr>
            <w:tcW w:w="4650" w:type="dxa"/>
            <w:shd w:val="clear" w:color="auto" w:fill="D9D9D9"/>
            <w:tcMar>
              <w:top w:w="100" w:type="dxa"/>
              <w:left w:w="100" w:type="dxa"/>
              <w:bottom w:w="100" w:type="dxa"/>
              <w:right w:w="100" w:type="dxa"/>
            </w:tcMar>
          </w:tcPr>
          <w:p w14:paraId="054A1053" w14:textId="77777777" w:rsidR="00AB5509" w:rsidRDefault="00000000">
            <w:pPr>
              <w:widowControl w:val="0"/>
              <w:pBdr>
                <w:top w:val="nil"/>
                <w:left w:val="nil"/>
                <w:bottom w:val="nil"/>
                <w:right w:val="nil"/>
                <w:between w:val="nil"/>
              </w:pBdr>
              <w:spacing w:line="240" w:lineRule="auto"/>
              <w:jc w:val="center"/>
              <w:rPr>
                <w:sz w:val="20"/>
                <w:szCs w:val="20"/>
              </w:rPr>
            </w:pPr>
            <w:r>
              <w:rPr>
                <w:sz w:val="20"/>
                <w:szCs w:val="20"/>
              </w:rPr>
              <w:t>CO2e / ton.km</w:t>
            </w:r>
          </w:p>
        </w:tc>
      </w:tr>
      <w:tr w:rsidR="00AB5509" w14:paraId="6407E304" w14:textId="77777777">
        <w:trPr>
          <w:trHeight w:val="444"/>
        </w:trPr>
        <w:tc>
          <w:tcPr>
            <w:tcW w:w="4680" w:type="dxa"/>
            <w:shd w:val="clear" w:color="auto" w:fill="auto"/>
            <w:tcMar>
              <w:top w:w="100" w:type="dxa"/>
              <w:left w:w="100" w:type="dxa"/>
              <w:bottom w:w="100" w:type="dxa"/>
              <w:right w:w="100" w:type="dxa"/>
            </w:tcMar>
          </w:tcPr>
          <w:p w14:paraId="750D2689" w14:textId="77777777" w:rsidR="00AB5509" w:rsidRDefault="00000000">
            <w:pPr>
              <w:widowControl w:val="0"/>
              <w:pBdr>
                <w:top w:val="nil"/>
                <w:left w:val="nil"/>
                <w:bottom w:val="nil"/>
                <w:right w:val="nil"/>
                <w:between w:val="nil"/>
              </w:pBdr>
              <w:spacing w:line="240" w:lineRule="auto"/>
              <w:rPr>
                <w:sz w:val="20"/>
                <w:szCs w:val="20"/>
              </w:rPr>
            </w:pPr>
            <w:r>
              <w:rPr>
                <w:sz w:val="20"/>
                <w:szCs w:val="20"/>
              </w:rPr>
              <w:t>Kamyon</w:t>
            </w:r>
          </w:p>
        </w:tc>
        <w:tc>
          <w:tcPr>
            <w:tcW w:w="4650" w:type="dxa"/>
            <w:shd w:val="clear" w:color="auto" w:fill="auto"/>
            <w:tcMar>
              <w:top w:w="100" w:type="dxa"/>
              <w:left w:w="100" w:type="dxa"/>
              <w:bottom w:w="100" w:type="dxa"/>
              <w:right w:w="100" w:type="dxa"/>
            </w:tcMar>
          </w:tcPr>
          <w:p w14:paraId="148C438B" w14:textId="77777777" w:rsidR="00AB5509" w:rsidRDefault="00000000">
            <w:pPr>
              <w:widowControl w:val="0"/>
              <w:spacing w:line="240" w:lineRule="auto"/>
              <w:jc w:val="right"/>
              <w:rPr>
                <w:sz w:val="20"/>
                <w:szCs w:val="20"/>
              </w:rPr>
            </w:pPr>
            <w:r>
              <w:rPr>
                <w:sz w:val="20"/>
                <w:szCs w:val="20"/>
              </w:rPr>
              <w:t>0,108 Kilogram</w:t>
            </w:r>
          </w:p>
        </w:tc>
      </w:tr>
      <w:tr w:rsidR="00AB5509" w14:paraId="15DB096A" w14:textId="77777777">
        <w:trPr>
          <w:trHeight w:val="444"/>
        </w:trPr>
        <w:tc>
          <w:tcPr>
            <w:tcW w:w="4680" w:type="dxa"/>
            <w:shd w:val="clear" w:color="auto" w:fill="auto"/>
            <w:tcMar>
              <w:top w:w="100" w:type="dxa"/>
              <w:left w:w="100" w:type="dxa"/>
              <w:bottom w:w="100" w:type="dxa"/>
              <w:right w:w="100" w:type="dxa"/>
            </w:tcMar>
          </w:tcPr>
          <w:p w14:paraId="1D9D0126" w14:textId="77777777" w:rsidR="00AB5509" w:rsidRDefault="00000000">
            <w:pPr>
              <w:widowControl w:val="0"/>
              <w:pBdr>
                <w:top w:val="nil"/>
                <w:left w:val="nil"/>
                <w:bottom w:val="nil"/>
                <w:right w:val="nil"/>
                <w:between w:val="nil"/>
              </w:pBdr>
              <w:spacing w:line="240" w:lineRule="auto"/>
              <w:rPr>
                <w:sz w:val="20"/>
                <w:szCs w:val="20"/>
              </w:rPr>
            </w:pPr>
            <w:r>
              <w:rPr>
                <w:sz w:val="20"/>
                <w:szCs w:val="20"/>
              </w:rPr>
              <w:t>Tren</w:t>
            </w:r>
          </w:p>
        </w:tc>
        <w:tc>
          <w:tcPr>
            <w:tcW w:w="4650" w:type="dxa"/>
            <w:shd w:val="clear" w:color="auto" w:fill="auto"/>
            <w:tcMar>
              <w:top w:w="100" w:type="dxa"/>
              <w:left w:w="100" w:type="dxa"/>
              <w:bottom w:w="100" w:type="dxa"/>
              <w:right w:w="100" w:type="dxa"/>
            </w:tcMar>
          </w:tcPr>
          <w:p w14:paraId="2B41C97A" w14:textId="77777777" w:rsidR="00AB5509" w:rsidRDefault="00000000">
            <w:pPr>
              <w:widowControl w:val="0"/>
              <w:spacing w:line="240" w:lineRule="auto"/>
              <w:jc w:val="right"/>
              <w:rPr>
                <w:sz w:val="20"/>
                <w:szCs w:val="20"/>
              </w:rPr>
            </w:pPr>
            <w:r>
              <w:rPr>
                <w:sz w:val="20"/>
                <w:szCs w:val="20"/>
              </w:rPr>
              <w:t>0,065 Kilogram</w:t>
            </w:r>
          </w:p>
        </w:tc>
      </w:tr>
      <w:tr w:rsidR="00AB5509" w14:paraId="0F7FA6E8" w14:textId="77777777">
        <w:trPr>
          <w:trHeight w:val="444"/>
        </w:trPr>
        <w:tc>
          <w:tcPr>
            <w:tcW w:w="4680" w:type="dxa"/>
            <w:shd w:val="clear" w:color="auto" w:fill="auto"/>
            <w:tcMar>
              <w:top w:w="100" w:type="dxa"/>
              <w:left w:w="100" w:type="dxa"/>
              <w:bottom w:w="100" w:type="dxa"/>
              <w:right w:w="100" w:type="dxa"/>
            </w:tcMar>
          </w:tcPr>
          <w:p w14:paraId="0F04F4E9" w14:textId="77777777" w:rsidR="00AB5509" w:rsidRDefault="00000000">
            <w:pPr>
              <w:widowControl w:val="0"/>
              <w:pBdr>
                <w:top w:val="nil"/>
                <w:left w:val="nil"/>
                <w:bottom w:val="nil"/>
                <w:right w:val="nil"/>
                <w:between w:val="nil"/>
              </w:pBdr>
              <w:spacing w:line="240" w:lineRule="auto"/>
              <w:rPr>
                <w:sz w:val="20"/>
                <w:szCs w:val="20"/>
              </w:rPr>
            </w:pPr>
            <w:r>
              <w:rPr>
                <w:sz w:val="20"/>
                <w:szCs w:val="20"/>
              </w:rPr>
              <w:t>Uçak</w:t>
            </w:r>
          </w:p>
        </w:tc>
        <w:tc>
          <w:tcPr>
            <w:tcW w:w="4650" w:type="dxa"/>
            <w:shd w:val="clear" w:color="auto" w:fill="auto"/>
            <w:tcMar>
              <w:top w:w="100" w:type="dxa"/>
              <w:left w:w="100" w:type="dxa"/>
              <w:bottom w:w="100" w:type="dxa"/>
              <w:right w:w="100" w:type="dxa"/>
            </w:tcMar>
          </w:tcPr>
          <w:p w14:paraId="4C345A79" w14:textId="77777777" w:rsidR="00AB5509" w:rsidRDefault="00000000">
            <w:pPr>
              <w:widowControl w:val="0"/>
              <w:spacing w:line="240" w:lineRule="auto"/>
              <w:jc w:val="right"/>
              <w:rPr>
                <w:sz w:val="20"/>
                <w:szCs w:val="20"/>
              </w:rPr>
            </w:pPr>
            <w:r>
              <w:rPr>
                <w:sz w:val="20"/>
                <w:szCs w:val="20"/>
              </w:rPr>
              <w:t>0.1116 Kilogram</w:t>
            </w:r>
          </w:p>
        </w:tc>
      </w:tr>
      <w:tr w:rsidR="00AB5509" w14:paraId="032A2DEF" w14:textId="77777777">
        <w:trPr>
          <w:trHeight w:val="444"/>
        </w:trPr>
        <w:tc>
          <w:tcPr>
            <w:tcW w:w="4680" w:type="dxa"/>
            <w:shd w:val="clear" w:color="auto" w:fill="auto"/>
            <w:tcMar>
              <w:top w:w="100" w:type="dxa"/>
              <w:left w:w="100" w:type="dxa"/>
              <w:bottom w:w="100" w:type="dxa"/>
              <w:right w:w="100" w:type="dxa"/>
            </w:tcMar>
          </w:tcPr>
          <w:p w14:paraId="2F32C8AE" w14:textId="77777777" w:rsidR="00AB5509" w:rsidRDefault="00000000">
            <w:pPr>
              <w:widowControl w:val="0"/>
              <w:pBdr>
                <w:top w:val="nil"/>
                <w:left w:val="nil"/>
                <w:bottom w:val="nil"/>
                <w:right w:val="nil"/>
                <w:between w:val="nil"/>
              </w:pBdr>
              <w:spacing w:line="240" w:lineRule="auto"/>
              <w:rPr>
                <w:sz w:val="20"/>
                <w:szCs w:val="20"/>
              </w:rPr>
            </w:pPr>
            <w:r>
              <w:rPr>
                <w:sz w:val="20"/>
                <w:szCs w:val="20"/>
              </w:rPr>
              <w:t>Gemi</w:t>
            </w:r>
          </w:p>
        </w:tc>
        <w:tc>
          <w:tcPr>
            <w:tcW w:w="4650" w:type="dxa"/>
            <w:shd w:val="clear" w:color="auto" w:fill="auto"/>
            <w:tcMar>
              <w:top w:w="100" w:type="dxa"/>
              <w:left w:w="100" w:type="dxa"/>
              <w:bottom w:w="100" w:type="dxa"/>
              <w:right w:w="100" w:type="dxa"/>
            </w:tcMar>
          </w:tcPr>
          <w:p w14:paraId="4A49901B" w14:textId="77777777" w:rsidR="00AB5509" w:rsidRDefault="00000000">
            <w:pPr>
              <w:widowControl w:val="0"/>
              <w:spacing w:line="240" w:lineRule="auto"/>
              <w:jc w:val="right"/>
              <w:rPr>
                <w:sz w:val="20"/>
                <w:szCs w:val="20"/>
              </w:rPr>
            </w:pPr>
            <w:r>
              <w:rPr>
                <w:sz w:val="20"/>
                <w:szCs w:val="20"/>
              </w:rPr>
              <w:t>0,03 Kilogram</w:t>
            </w:r>
          </w:p>
        </w:tc>
      </w:tr>
    </w:tbl>
    <w:p w14:paraId="632E1210" w14:textId="77777777" w:rsidR="00AB5509" w:rsidRDefault="00000000">
      <w:pPr>
        <w:shd w:val="clear" w:color="auto" w:fill="FEFEFE"/>
        <w:spacing w:after="240"/>
        <w:rPr>
          <w:b/>
          <w:sz w:val="26"/>
          <w:szCs w:val="26"/>
        </w:rPr>
      </w:pPr>
      <w:r>
        <w:rPr>
          <w:b/>
          <w:sz w:val="26"/>
          <w:szCs w:val="26"/>
        </w:rPr>
        <w:t>Senaryo 2:</w:t>
      </w:r>
    </w:p>
    <w:tbl>
      <w:tblPr>
        <w:tblStyle w:val="a4"/>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AB5509" w14:paraId="034C1FAC" w14:textId="77777777">
        <w:tc>
          <w:tcPr>
            <w:tcW w:w="9360" w:type="dxa"/>
            <w:shd w:val="clear" w:color="auto" w:fill="D9D2E9"/>
            <w:tcMar>
              <w:top w:w="100" w:type="dxa"/>
              <w:left w:w="100" w:type="dxa"/>
              <w:bottom w:w="100" w:type="dxa"/>
              <w:right w:w="100" w:type="dxa"/>
            </w:tcMar>
          </w:tcPr>
          <w:p w14:paraId="7977C84D" w14:textId="77777777" w:rsidR="00AB5509" w:rsidRDefault="00000000">
            <w:pPr>
              <w:widowControl w:val="0"/>
              <w:spacing w:line="240" w:lineRule="auto"/>
              <w:jc w:val="center"/>
              <w:rPr>
                <w:b/>
                <w:sz w:val="20"/>
                <w:szCs w:val="20"/>
              </w:rPr>
            </w:pPr>
            <w:r>
              <w:rPr>
                <w:b/>
                <w:sz w:val="20"/>
                <w:szCs w:val="20"/>
              </w:rPr>
              <w:t>Mikroçipler</w:t>
            </w:r>
          </w:p>
        </w:tc>
      </w:tr>
    </w:tbl>
    <w:p w14:paraId="1A67B9F7" w14:textId="77777777" w:rsidR="00AB5509" w:rsidRDefault="00AB5509">
      <w:pPr>
        <w:shd w:val="clear" w:color="auto" w:fill="FEFEFE"/>
        <w:spacing w:after="240"/>
        <w:rPr>
          <w:b/>
          <w:sz w:val="20"/>
          <w:szCs w:val="20"/>
        </w:rPr>
      </w:pPr>
    </w:p>
    <w:tbl>
      <w:tblPr>
        <w:tblStyle w:val="a5"/>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80"/>
        <w:gridCol w:w="4680"/>
      </w:tblGrid>
      <w:tr w:rsidR="00AB5509" w14:paraId="2C1C0C98" w14:textId="77777777">
        <w:trPr>
          <w:tblHeader/>
        </w:trPr>
        <w:tc>
          <w:tcPr>
            <w:tcW w:w="4680" w:type="dxa"/>
            <w:shd w:val="clear" w:color="auto" w:fill="D9D9D9"/>
            <w:tcMar>
              <w:top w:w="100" w:type="dxa"/>
              <w:left w:w="100" w:type="dxa"/>
              <w:bottom w:w="100" w:type="dxa"/>
              <w:right w:w="100" w:type="dxa"/>
            </w:tcMar>
          </w:tcPr>
          <w:p w14:paraId="18560038" w14:textId="77777777" w:rsidR="00AB5509" w:rsidRDefault="00000000">
            <w:pPr>
              <w:widowControl w:val="0"/>
              <w:spacing w:line="240" w:lineRule="auto"/>
              <w:rPr>
                <w:sz w:val="20"/>
                <w:szCs w:val="20"/>
              </w:rPr>
            </w:pPr>
            <w:r>
              <w:rPr>
                <w:sz w:val="20"/>
                <w:szCs w:val="20"/>
              </w:rPr>
              <w:t>Kökeni</w:t>
            </w:r>
          </w:p>
        </w:tc>
        <w:tc>
          <w:tcPr>
            <w:tcW w:w="4680" w:type="dxa"/>
            <w:shd w:val="clear" w:color="auto" w:fill="D9D9D9"/>
            <w:tcMar>
              <w:top w:w="100" w:type="dxa"/>
              <w:left w:w="100" w:type="dxa"/>
              <w:bottom w:w="100" w:type="dxa"/>
              <w:right w:w="100" w:type="dxa"/>
            </w:tcMar>
          </w:tcPr>
          <w:p w14:paraId="36531366" w14:textId="77777777" w:rsidR="00AB5509" w:rsidRDefault="00000000">
            <w:pPr>
              <w:widowControl w:val="0"/>
              <w:spacing w:line="240" w:lineRule="auto"/>
              <w:rPr>
                <w:sz w:val="20"/>
                <w:szCs w:val="20"/>
              </w:rPr>
            </w:pPr>
            <w:r>
              <w:rPr>
                <w:sz w:val="20"/>
                <w:szCs w:val="20"/>
              </w:rPr>
              <w:t>Varış noktası</w:t>
            </w:r>
          </w:p>
        </w:tc>
      </w:tr>
      <w:tr w:rsidR="00AB5509" w14:paraId="74EE9C5F" w14:textId="77777777">
        <w:tc>
          <w:tcPr>
            <w:tcW w:w="4680" w:type="dxa"/>
            <w:shd w:val="clear" w:color="auto" w:fill="auto"/>
            <w:tcMar>
              <w:top w:w="100" w:type="dxa"/>
              <w:left w:w="100" w:type="dxa"/>
              <w:bottom w:w="100" w:type="dxa"/>
              <w:right w:w="100" w:type="dxa"/>
            </w:tcMar>
          </w:tcPr>
          <w:p w14:paraId="4B1BE335" w14:textId="77777777" w:rsidR="00AB5509" w:rsidRDefault="00000000">
            <w:pPr>
              <w:widowControl w:val="0"/>
              <w:spacing w:line="240" w:lineRule="auto"/>
              <w:rPr>
                <w:sz w:val="20"/>
                <w:szCs w:val="20"/>
              </w:rPr>
            </w:pPr>
            <w:r>
              <w:rPr>
                <w:sz w:val="20"/>
                <w:szCs w:val="20"/>
              </w:rPr>
              <w:t>Pekin (Çin)</w:t>
            </w:r>
          </w:p>
        </w:tc>
        <w:tc>
          <w:tcPr>
            <w:tcW w:w="4680" w:type="dxa"/>
            <w:shd w:val="clear" w:color="auto" w:fill="auto"/>
            <w:tcMar>
              <w:top w:w="100" w:type="dxa"/>
              <w:left w:w="100" w:type="dxa"/>
              <w:bottom w:w="100" w:type="dxa"/>
              <w:right w:w="100" w:type="dxa"/>
            </w:tcMar>
          </w:tcPr>
          <w:p w14:paraId="07E846BE" w14:textId="77777777" w:rsidR="00AB5509" w:rsidRDefault="00000000">
            <w:pPr>
              <w:widowControl w:val="0"/>
              <w:spacing w:line="240" w:lineRule="auto"/>
              <w:rPr>
                <w:sz w:val="20"/>
                <w:szCs w:val="20"/>
              </w:rPr>
            </w:pPr>
            <w:r>
              <w:rPr>
                <w:sz w:val="20"/>
                <w:szCs w:val="20"/>
              </w:rPr>
              <w:t>Berlin (Almanya)</w:t>
            </w:r>
          </w:p>
        </w:tc>
      </w:tr>
    </w:tbl>
    <w:p w14:paraId="00F1CEF1" w14:textId="77777777" w:rsidR="00AB5509" w:rsidRDefault="00AB5509">
      <w:pPr>
        <w:shd w:val="clear" w:color="auto" w:fill="FEFEFE"/>
        <w:spacing w:after="240"/>
        <w:rPr>
          <w:sz w:val="20"/>
          <w:szCs w:val="20"/>
        </w:rPr>
      </w:pPr>
    </w:p>
    <w:tbl>
      <w:tblPr>
        <w:tblStyle w:val="a6"/>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AB5509" w14:paraId="3180F50B" w14:textId="77777777">
        <w:tc>
          <w:tcPr>
            <w:tcW w:w="9360" w:type="dxa"/>
            <w:shd w:val="clear" w:color="auto" w:fill="D9D9D9"/>
            <w:tcMar>
              <w:top w:w="100" w:type="dxa"/>
              <w:left w:w="100" w:type="dxa"/>
              <w:bottom w:w="100" w:type="dxa"/>
              <w:right w:w="100" w:type="dxa"/>
            </w:tcMar>
          </w:tcPr>
          <w:p w14:paraId="579CB2B7" w14:textId="77777777" w:rsidR="00AB5509" w:rsidRDefault="00000000">
            <w:pPr>
              <w:widowControl w:val="0"/>
              <w:spacing w:line="240" w:lineRule="auto"/>
              <w:jc w:val="center"/>
              <w:rPr>
                <w:sz w:val="20"/>
                <w:szCs w:val="20"/>
              </w:rPr>
            </w:pPr>
            <w:r>
              <w:rPr>
                <w:sz w:val="20"/>
                <w:szCs w:val="20"/>
              </w:rPr>
              <w:t>Ağırlık</w:t>
            </w:r>
          </w:p>
        </w:tc>
      </w:tr>
      <w:tr w:rsidR="00AB5509" w14:paraId="71B7A294" w14:textId="77777777">
        <w:tc>
          <w:tcPr>
            <w:tcW w:w="9360" w:type="dxa"/>
            <w:tcMar>
              <w:top w:w="100" w:type="dxa"/>
              <w:left w:w="100" w:type="dxa"/>
              <w:bottom w:w="100" w:type="dxa"/>
              <w:right w:w="100" w:type="dxa"/>
            </w:tcMar>
          </w:tcPr>
          <w:p w14:paraId="3B456EC7" w14:textId="77777777" w:rsidR="00AB5509" w:rsidRDefault="00000000">
            <w:pPr>
              <w:widowControl w:val="0"/>
              <w:spacing w:line="240" w:lineRule="auto"/>
              <w:jc w:val="center"/>
              <w:rPr>
                <w:b/>
                <w:sz w:val="20"/>
                <w:szCs w:val="20"/>
              </w:rPr>
            </w:pPr>
            <w:r>
              <w:rPr>
                <w:b/>
                <w:sz w:val="20"/>
                <w:szCs w:val="20"/>
              </w:rPr>
              <w:t>1,5 ton</w:t>
            </w:r>
          </w:p>
        </w:tc>
      </w:tr>
    </w:tbl>
    <w:p w14:paraId="2CE50340" w14:textId="77777777" w:rsidR="00AB5509" w:rsidRDefault="00AB5509">
      <w:pPr>
        <w:shd w:val="clear" w:color="auto" w:fill="FEFEFE"/>
        <w:spacing w:after="240"/>
        <w:rPr>
          <w:sz w:val="20"/>
          <w:szCs w:val="20"/>
        </w:rPr>
      </w:pPr>
    </w:p>
    <w:tbl>
      <w:tblPr>
        <w:tblStyle w:val="a7"/>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625"/>
        <w:gridCol w:w="2595"/>
        <w:gridCol w:w="1800"/>
        <w:gridCol w:w="2340"/>
      </w:tblGrid>
      <w:tr w:rsidR="00AB5509" w14:paraId="30A3FE7E" w14:textId="77777777">
        <w:trPr>
          <w:tblHeader/>
        </w:trPr>
        <w:tc>
          <w:tcPr>
            <w:tcW w:w="2625" w:type="dxa"/>
            <w:shd w:val="clear" w:color="auto" w:fill="D9D9D9"/>
            <w:tcMar>
              <w:top w:w="100" w:type="dxa"/>
              <w:left w:w="100" w:type="dxa"/>
              <w:bottom w:w="100" w:type="dxa"/>
              <w:right w:w="100" w:type="dxa"/>
            </w:tcMar>
          </w:tcPr>
          <w:p w14:paraId="68BA6EE9" w14:textId="77777777" w:rsidR="00AB5509" w:rsidRDefault="00000000">
            <w:pPr>
              <w:widowControl w:val="0"/>
              <w:spacing w:line="240" w:lineRule="auto"/>
              <w:rPr>
                <w:sz w:val="20"/>
                <w:szCs w:val="20"/>
              </w:rPr>
            </w:pPr>
            <w:r>
              <w:rPr>
                <w:sz w:val="20"/>
                <w:szCs w:val="20"/>
              </w:rPr>
              <w:t>Başlangıç</w:t>
            </w:r>
          </w:p>
        </w:tc>
        <w:tc>
          <w:tcPr>
            <w:tcW w:w="2595" w:type="dxa"/>
            <w:shd w:val="clear" w:color="auto" w:fill="D9D9D9"/>
            <w:tcMar>
              <w:top w:w="100" w:type="dxa"/>
              <w:left w:w="100" w:type="dxa"/>
              <w:bottom w:w="100" w:type="dxa"/>
              <w:right w:w="100" w:type="dxa"/>
            </w:tcMar>
          </w:tcPr>
          <w:p w14:paraId="533DD77B" w14:textId="77777777" w:rsidR="00AB5509" w:rsidRDefault="00000000">
            <w:pPr>
              <w:widowControl w:val="0"/>
              <w:spacing w:line="240" w:lineRule="auto"/>
              <w:rPr>
                <w:sz w:val="20"/>
                <w:szCs w:val="20"/>
              </w:rPr>
            </w:pPr>
            <w:r>
              <w:rPr>
                <w:sz w:val="20"/>
                <w:szCs w:val="20"/>
              </w:rPr>
              <w:t>Durmak</w:t>
            </w:r>
          </w:p>
        </w:tc>
        <w:tc>
          <w:tcPr>
            <w:tcW w:w="1800" w:type="dxa"/>
            <w:shd w:val="clear" w:color="auto" w:fill="D9D9D9"/>
            <w:tcMar>
              <w:top w:w="100" w:type="dxa"/>
              <w:left w:w="100" w:type="dxa"/>
              <w:bottom w:w="100" w:type="dxa"/>
              <w:right w:w="100" w:type="dxa"/>
            </w:tcMar>
          </w:tcPr>
          <w:p w14:paraId="068066AC" w14:textId="77777777" w:rsidR="00AB5509" w:rsidRDefault="00000000">
            <w:pPr>
              <w:widowControl w:val="0"/>
              <w:spacing w:line="240" w:lineRule="auto"/>
              <w:rPr>
                <w:sz w:val="20"/>
                <w:szCs w:val="20"/>
              </w:rPr>
            </w:pPr>
            <w:r>
              <w:rPr>
                <w:sz w:val="20"/>
                <w:szCs w:val="20"/>
              </w:rPr>
              <w:t>Araç tipi</w:t>
            </w:r>
          </w:p>
        </w:tc>
        <w:tc>
          <w:tcPr>
            <w:tcW w:w="2340" w:type="dxa"/>
            <w:shd w:val="clear" w:color="auto" w:fill="D9D9D9"/>
            <w:tcMar>
              <w:top w:w="100" w:type="dxa"/>
              <w:left w:w="100" w:type="dxa"/>
              <w:bottom w:w="100" w:type="dxa"/>
              <w:right w:w="100" w:type="dxa"/>
            </w:tcMar>
          </w:tcPr>
          <w:p w14:paraId="06EF97EC" w14:textId="77777777" w:rsidR="00AB5509" w:rsidRDefault="00000000">
            <w:pPr>
              <w:widowControl w:val="0"/>
              <w:spacing w:line="240" w:lineRule="auto"/>
              <w:rPr>
                <w:sz w:val="20"/>
                <w:szCs w:val="20"/>
              </w:rPr>
            </w:pPr>
            <w:r>
              <w:rPr>
                <w:sz w:val="20"/>
                <w:szCs w:val="20"/>
              </w:rPr>
              <w:t>Mesafe</w:t>
            </w:r>
          </w:p>
        </w:tc>
      </w:tr>
      <w:tr w:rsidR="00AB5509" w14:paraId="0AC1102C" w14:textId="77777777">
        <w:tc>
          <w:tcPr>
            <w:tcW w:w="2625" w:type="dxa"/>
            <w:shd w:val="clear" w:color="auto" w:fill="auto"/>
            <w:tcMar>
              <w:top w:w="100" w:type="dxa"/>
              <w:left w:w="100" w:type="dxa"/>
              <w:bottom w:w="100" w:type="dxa"/>
              <w:right w:w="100" w:type="dxa"/>
            </w:tcMar>
          </w:tcPr>
          <w:p w14:paraId="1E6705BC" w14:textId="77777777" w:rsidR="00AB5509" w:rsidRDefault="00000000">
            <w:pPr>
              <w:widowControl w:val="0"/>
              <w:spacing w:line="240" w:lineRule="auto"/>
              <w:rPr>
                <w:sz w:val="20"/>
                <w:szCs w:val="20"/>
              </w:rPr>
            </w:pPr>
            <w:r>
              <w:rPr>
                <w:sz w:val="20"/>
                <w:szCs w:val="20"/>
              </w:rPr>
              <w:t>Pekin (Çin)</w:t>
            </w:r>
          </w:p>
        </w:tc>
        <w:tc>
          <w:tcPr>
            <w:tcW w:w="2595" w:type="dxa"/>
            <w:shd w:val="clear" w:color="auto" w:fill="auto"/>
            <w:tcMar>
              <w:top w:w="100" w:type="dxa"/>
              <w:left w:w="100" w:type="dxa"/>
              <w:bottom w:w="100" w:type="dxa"/>
              <w:right w:w="100" w:type="dxa"/>
            </w:tcMar>
          </w:tcPr>
          <w:p w14:paraId="7153CE97" w14:textId="77777777" w:rsidR="00AB5509" w:rsidRDefault="00000000">
            <w:pPr>
              <w:widowControl w:val="0"/>
              <w:spacing w:line="240" w:lineRule="auto"/>
              <w:rPr>
                <w:sz w:val="20"/>
                <w:szCs w:val="20"/>
              </w:rPr>
            </w:pPr>
            <w:r>
              <w:rPr>
                <w:sz w:val="20"/>
                <w:szCs w:val="20"/>
              </w:rPr>
              <w:t>Pekin Havaalanı (Çin)</w:t>
            </w:r>
          </w:p>
        </w:tc>
        <w:tc>
          <w:tcPr>
            <w:tcW w:w="1800" w:type="dxa"/>
            <w:shd w:val="clear" w:color="auto" w:fill="auto"/>
            <w:tcMar>
              <w:top w:w="100" w:type="dxa"/>
              <w:left w:w="100" w:type="dxa"/>
              <w:bottom w:w="100" w:type="dxa"/>
              <w:right w:w="100" w:type="dxa"/>
            </w:tcMar>
          </w:tcPr>
          <w:p w14:paraId="37297A21" w14:textId="77777777" w:rsidR="00AB5509" w:rsidRDefault="00000000">
            <w:pPr>
              <w:widowControl w:val="0"/>
              <w:spacing w:line="240" w:lineRule="auto"/>
              <w:rPr>
                <w:sz w:val="20"/>
                <w:szCs w:val="20"/>
              </w:rPr>
            </w:pPr>
            <w:r>
              <w:rPr>
                <w:sz w:val="20"/>
                <w:szCs w:val="20"/>
              </w:rPr>
              <w:t>Kamyon</w:t>
            </w:r>
          </w:p>
        </w:tc>
        <w:tc>
          <w:tcPr>
            <w:tcW w:w="2340" w:type="dxa"/>
            <w:shd w:val="clear" w:color="auto" w:fill="auto"/>
            <w:tcMar>
              <w:top w:w="100" w:type="dxa"/>
              <w:left w:w="100" w:type="dxa"/>
              <w:bottom w:w="100" w:type="dxa"/>
              <w:right w:w="100" w:type="dxa"/>
            </w:tcMar>
          </w:tcPr>
          <w:p w14:paraId="4D3F26D1" w14:textId="77777777" w:rsidR="00AB5509" w:rsidRDefault="00000000">
            <w:pPr>
              <w:widowControl w:val="0"/>
              <w:spacing w:line="240" w:lineRule="auto"/>
              <w:jc w:val="right"/>
              <w:rPr>
                <w:sz w:val="20"/>
                <w:szCs w:val="20"/>
              </w:rPr>
            </w:pPr>
            <w:r>
              <w:rPr>
                <w:sz w:val="20"/>
                <w:szCs w:val="20"/>
              </w:rPr>
              <w:t>28,8 km</w:t>
            </w:r>
          </w:p>
        </w:tc>
      </w:tr>
      <w:tr w:rsidR="00AB5509" w14:paraId="2017447C" w14:textId="77777777">
        <w:tc>
          <w:tcPr>
            <w:tcW w:w="2625" w:type="dxa"/>
            <w:shd w:val="clear" w:color="auto" w:fill="auto"/>
            <w:tcMar>
              <w:top w:w="100" w:type="dxa"/>
              <w:left w:w="100" w:type="dxa"/>
              <w:bottom w:w="100" w:type="dxa"/>
              <w:right w:w="100" w:type="dxa"/>
            </w:tcMar>
          </w:tcPr>
          <w:p w14:paraId="2B961F35" w14:textId="77777777" w:rsidR="00AB5509" w:rsidRDefault="00000000">
            <w:pPr>
              <w:widowControl w:val="0"/>
              <w:spacing w:line="240" w:lineRule="auto"/>
              <w:rPr>
                <w:sz w:val="20"/>
                <w:szCs w:val="20"/>
              </w:rPr>
            </w:pPr>
            <w:proofErr w:type="spellStart"/>
            <w:r>
              <w:rPr>
                <w:sz w:val="20"/>
                <w:szCs w:val="20"/>
              </w:rPr>
              <w:t>Bijing</w:t>
            </w:r>
            <w:proofErr w:type="spellEnd"/>
            <w:r>
              <w:rPr>
                <w:sz w:val="20"/>
                <w:szCs w:val="20"/>
              </w:rPr>
              <w:t xml:space="preserve"> Havaalanı (Çin)</w:t>
            </w:r>
          </w:p>
        </w:tc>
        <w:tc>
          <w:tcPr>
            <w:tcW w:w="2595" w:type="dxa"/>
            <w:shd w:val="clear" w:color="auto" w:fill="auto"/>
            <w:tcMar>
              <w:top w:w="100" w:type="dxa"/>
              <w:left w:w="100" w:type="dxa"/>
              <w:bottom w:w="100" w:type="dxa"/>
              <w:right w:w="100" w:type="dxa"/>
            </w:tcMar>
          </w:tcPr>
          <w:p w14:paraId="39380913" w14:textId="77777777" w:rsidR="00AB5509" w:rsidRDefault="00000000">
            <w:pPr>
              <w:widowControl w:val="0"/>
              <w:spacing w:line="240" w:lineRule="auto"/>
              <w:rPr>
                <w:sz w:val="20"/>
                <w:szCs w:val="20"/>
              </w:rPr>
            </w:pPr>
            <w:r>
              <w:rPr>
                <w:sz w:val="20"/>
                <w:szCs w:val="20"/>
              </w:rPr>
              <w:t>Frankfurt (Almanya)</w:t>
            </w:r>
          </w:p>
        </w:tc>
        <w:tc>
          <w:tcPr>
            <w:tcW w:w="1800" w:type="dxa"/>
            <w:shd w:val="clear" w:color="auto" w:fill="auto"/>
            <w:tcMar>
              <w:top w:w="100" w:type="dxa"/>
              <w:left w:w="100" w:type="dxa"/>
              <w:bottom w:w="100" w:type="dxa"/>
              <w:right w:w="100" w:type="dxa"/>
            </w:tcMar>
          </w:tcPr>
          <w:p w14:paraId="35C0E90E" w14:textId="77777777" w:rsidR="00AB5509" w:rsidRDefault="00000000">
            <w:pPr>
              <w:widowControl w:val="0"/>
              <w:spacing w:line="240" w:lineRule="auto"/>
              <w:rPr>
                <w:sz w:val="20"/>
                <w:szCs w:val="20"/>
              </w:rPr>
            </w:pPr>
            <w:r>
              <w:rPr>
                <w:sz w:val="20"/>
                <w:szCs w:val="20"/>
              </w:rPr>
              <w:t>Uçak</w:t>
            </w:r>
          </w:p>
        </w:tc>
        <w:tc>
          <w:tcPr>
            <w:tcW w:w="2340" w:type="dxa"/>
            <w:shd w:val="clear" w:color="auto" w:fill="auto"/>
            <w:tcMar>
              <w:top w:w="100" w:type="dxa"/>
              <w:left w:w="100" w:type="dxa"/>
              <w:bottom w:w="100" w:type="dxa"/>
              <w:right w:w="100" w:type="dxa"/>
            </w:tcMar>
          </w:tcPr>
          <w:p w14:paraId="44B99F0B" w14:textId="77777777" w:rsidR="00AB5509" w:rsidRDefault="00000000">
            <w:pPr>
              <w:widowControl w:val="0"/>
              <w:spacing w:line="240" w:lineRule="auto"/>
              <w:jc w:val="right"/>
              <w:rPr>
                <w:sz w:val="20"/>
                <w:szCs w:val="20"/>
              </w:rPr>
            </w:pPr>
            <w:r>
              <w:rPr>
                <w:sz w:val="20"/>
                <w:szCs w:val="20"/>
              </w:rPr>
              <w:t>7780.85 Km</w:t>
            </w:r>
          </w:p>
        </w:tc>
      </w:tr>
      <w:tr w:rsidR="00AB5509" w14:paraId="2437BD11" w14:textId="77777777">
        <w:tc>
          <w:tcPr>
            <w:tcW w:w="2625" w:type="dxa"/>
            <w:shd w:val="clear" w:color="auto" w:fill="auto"/>
            <w:tcMar>
              <w:top w:w="100" w:type="dxa"/>
              <w:left w:w="100" w:type="dxa"/>
              <w:bottom w:w="100" w:type="dxa"/>
              <w:right w:w="100" w:type="dxa"/>
            </w:tcMar>
          </w:tcPr>
          <w:p w14:paraId="37AB1A92" w14:textId="77777777" w:rsidR="00AB5509" w:rsidRDefault="00000000">
            <w:pPr>
              <w:widowControl w:val="0"/>
              <w:spacing w:line="240" w:lineRule="auto"/>
              <w:rPr>
                <w:sz w:val="20"/>
                <w:szCs w:val="20"/>
              </w:rPr>
            </w:pPr>
            <w:r>
              <w:rPr>
                <w:sz w:val="20"/>
                <w:szCs w:val="20"/>
              </w:rPr>
              <w:t>Frankfurt (Almanya)</w:t>
            </w:r>
          </w:p>
        </w:tc>
        <w:tc>
          <w:tcPr>
            <w:tcW w:w="2595" w:type="dxa"/>
            <w:shd w:val="clear" w:color="auto" w:fill="auto"/>
            <w:tcMar>
              <w:top w:w="100" w:type="dxa"/>
              <w:left w:w="100" w:type="dxa"/>
              <w:bottom w:w="100" w:type="dxa"/>
              <w:right w:w="100" w:type="dxa"/>
            </w:tcMar>
          </w:tcPr>
          <w:p w14:paraId="3A271E7E" w14:textId="77777777" w:rsidR="00AB5509" w:rsidRDefault="00000000">
            <w:pPr>
              <w:widowControl w:val="0"/>
              <w:spacing w:line="240" w:lineRule="auto"/>
              <w:rPr>
                <w:sz w:val="20"/>
                <w:szCs w:val="20"/>
              </w:rPr>
            </w:pPr>
            <w:r>
              <w:rPr>
                <w:sz w:val="20"/>
                <w:szCs w:val="20"/>
              </w:rPr>
              <w:t>Berlin İstasyonu (Almanya)</w:t>
            </w:r>
          </w:p>
        </w:tc>
        <w:tc>
          <w:tcPr>
            <w:tcW w:w="1800" w:type="dxa"/>
            <w:shd w:val="clear" w:color="auto" w:fill="auto"/>
            <w:tcMar>
              <w:top w:w="100" w:type="dxa"/>
              <w:left w:w="100" w:type="dxa"/>
              <w:bottom w:w="100" w:type="dxa"/>
              <w:right w:w="100" w:type="dxa"/>
            </w:tcMar>
          </w:tcPr>
          <w:p w14:paraId="09C99E3F" w14:textId="77777777" w:rsidR="00AB5509" w:rsidRDefault="00000000">
            <w:pPr>
              <w:widowControl w:val="0"/>
              <w:spacing w:line="240" w:lineRule="auto"/>
              <w:rPr>
                <w:sz w:val="20"/>
                <w:szCs w:val="20"/>
              </w:rPr>
            </w:pPr>
            <w:r>
              <w:rPr>
                <w:sz w:val="20"/>
                <w:szCs w:val="20"/>
              </w:rPr>
              <w:t>Tren</w:t>
            </w:r>
          </w:p>
        </w:tc>
        <w:tc>
          <w:tcPr>
            <w:tcW w:w="2340" w:type="dxa"/>
            <w:shd w:val="clear" w:color="auto" w:fill="auto"/>
            <w:tcMar>
              <w:top w:w="100" w:type="dxa"/>
              <w:left w:w="100" w:type="dxa"/>
              <w:bottom w:w="100" w:type="dxa"/>
              <w:right w:w="100" w:type="dxa"/>
            </w:tcMar>
          </w:tcPr>
          <w:p w14:paraId="16C87B88" w14:textId="77777777" w:rsidR="00AB5509" w:rsidRDefault="00000000">
            <w:pPr>
              <w:widowControl w:val="0"/>
              <w:spacing w:line="240" w:lineRule="auto"/>
              <w:jc w:val="right"/>
              <w:rPr>
                <w:sz w:val="20"/>
                <w:szCs w:val="20"/>
              </w:rPr>
            </w:pPr>
            <w:r>
              <w:rPr>
                <w:sz w:val="20"/>
                <w:szCs w:val="20"/>
              </w:rPr>
              <w:t>454 km</w:t>
            </w:r>
          </w:p>
        </w:tc>
      </w:tr>
      <w:tr w:rsidR="00AB5509" w14:paraId="22187CBF" w14:textId="77777777">
        <w:tc>
          <w:tcPr>
            <w:tcW w:w="2625" w:type="dxa"/>
            <w:shd w:val="clear" w:color="auto" w:fill="auto"/>
            <w:tcMar>
              <w:top w:w="100" w:type="dxa"/>
              <w:left w:w="100" w:type="dxa"/>
              <w:bottom w:w="100" w:type="dxa"/>
              <w:right w:w="100" w:type="dxa"/>
            </w:tcMar>
          </w:tcPr>
          <w:p w14:paraId="095CF28C" w14:textId="77777777" w:rsidR="00AB5509" w:rsidRDefault="00000000">
            <w:pPr>
              <w:widowControl w:val="0"/>
              <w:spacing w:line="240" w:lineRule="auto"/>
              <w:rPr>
                <w:sz w:val="20"/>
                <w:szCs w:val="20"/>
              </w:rPr>
            </w:pPr>
            <w:r>
              <w:rPr>
                <w:sz w:val="20"/>
                <w:szCs w:val="20"/>
              </w:rPr>
              <w:t>Berlin İstasyonu (Almanya)</w:t>
            </w:r>
          </w:p>
        </w:tc>
        <w:tc>
          <w:tcPr>
            <w:tcW w:w="2595" w:type="dxa"/>
            <w:shd w:val="clear" w:color="auto" w:fill="auto"/>
            <w:tcMar>
              <w:top w:w="100" w:type="dxa"/>
              <w:left w:w="100" w:type="dxa"/>
              <w:bottom w:w="100" w:type="dxa"/>
              <w:right w:w="100" w:type="dxa"/>
            </w:tcMar>
          </w:tcPr>
          <w:p w14:paraId="4DD18F45" w14:textId="77777777" w:rsidR="00AB5509" w:rsidRDefault="00000000">
            <w:pPr>
              <w:widowControl w:val="0"/>
              <w:spacing w:line="240" w:lineRule="auto"/>
              <w:rPr>
                <w:sz w:val="20"/>
                <w:szCs w:val="20"/>
              </w:rPr>
            </w:pPr>
            <w:r>
              <w:rPr>
                <w:sz w:val="20"/>
                <w:szCs w:val="20"/>
              </w:rPr>
              <w:t>Berlin Merkezi (Almanya)</w:t>
            </w:r>
          </w:p>
        </w:tc>
        <w:tc>
          <w:tcPr>
            <w:tcW w:w="1800" w:type="dxa"/>
            <w:shd w:val="clear" w:color="auto" w:fill="auto"/>
            <w:tcMar>
              <w:top w:w="100" w:type="dxa"/>
              <w:left w:w="100" w:type="dxa"/>
              <w:bottom w:w="100" w:type="dxa"/>
              <w:right w:w="100" w:type="dxa"/>
            </w:tcMar>
          </w:tcPr>
          <w:p w14:paraId="7B721C8F" w14:textId="77777777" w:rsidR="00AB5509" w:rsidRDefault="00000000">
            <w:pPr>
              <w:widowControl w:val="0"/>
              <w:spacing w:line="240" w:lineRule="auto"/>
              <w:rPr>
                <w:sz w:val="20"/>
                <w:szCs w:val="20"/>
              </w:rPr>
            </w:pPr>
            <w:r>
              <w:rPr>
                <w:sz w:val="20"/>
                <w:szCs w:val="20"/>
              </w:rPr>
              <w:t>Kamyon</w:t>
            </w:r>
          </w:p>
        </w:tc>
        <w:tc>
          <w:tcPr>
            <w:tcW w:w="2340" w:type="dxa"/>
            <w:shd w:val="clear" w:color="auto" w:fill="auto"/>
            <w:tcMar>
              <w:top w:w="100" w:type="dxa"/>
              <w:left w:w="100" w:type="dxa"/>
              <w:bottom w:w="100" w:type="dxa"/>
              <w:right w:w="100" w:type="dxa"/>
            </w:tcMar>
          </w:tcPr>
          <w:p w14:paraId="63BE99A0" w14:textId="77777777" w:rsidR="00AB5509" w:rsidRDefault="00000000">
            <w:pPr>
              <w:widowControl w:val="0"/>
              <w:spacing w:line="240" w:lineRule="auto"/>
              <w:jc w:val="right"/>
              <w:rPr>
                <w:sz w:val="20"/>
                <w:szCs w:val="20"/>
              </w:rPr>
            </w:pPr>
            <w:r>
              <w:rPr>
                <w:sz w:val="20"/>
                <w:szCs w:val="20"/>
              </w:rPr>
              <w:t>3,6 km</w:t>
            </w:r>
          </w:p>
        </w:tc>
      </w:tr>
    </w:tbl>
    <w:p w14:paraId="20767B43" w14:textId="77777777" w:rsidR="00AB5509" w:rsidRDefault="00AB5509">
      <w:pPr>
        <w:shd w:val="clear" w:color="auto" w:fill="FEFEFE"/>
        <w:spacing w:after="240"/>
        <w:rPr>
          <w:sz w:val="20"/>
          <w:szCs w:val="20"/>
        </w:rPr>
      </w:pPr>
    </w:p>
    <w:tbl>
      <w:tblPr>
        <w:tblStyle w:val="a8"/>
        <w:tblW w:w="93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80"/>
        <w:gridCol w:w="4650"/>
      </w:tblGrid>
      <w:tr w:rsidR="00AB5509" w14:paraId="60BB7AC3" w14:textId="77777777">
        <w:trPr>
          <w:tblHeader/>
        </w:trPr>
        <w:tc>
          <w:tcPr>
            <w:tcW w:w="4680" w:type="dxa"/>
            <w:shd w:val="clear" w:color="auto" w:fill="D9D9D9"/>
            <w:tcMar>
              <w:top w:w="100" w:type="dxa"/>
              <w:left w:w="100" w:type="dxa"/>
              <w:bottom w:w="100" w:type="dxa"/>
              <w:right w:w="100" w:type="dxa"/>
            </w:tcMar>
          </w:tcPr>
          <w:p w14:paraId="7C6384F0" w14:textId="77777777" w:rsidR="00AB5509" w:rsidRDefault="00000000">
            <w:pPr>
              <w:widowControl w:val="0"/>
              <w:spacing w:line="240" w:lineRule="auto"/>
              <w:jc w:val="center"/>
              <w:rPr>
                <w:sz w:val="20"/>
                <w:szCs w:val="20"/>
              </w:rPr>
            </w:pPr>
            <w:r>
              <w:rPr>
                <w:sz w:val="20"/>
                <w:szCs w:val="20"/>
              </w:rPr>
              <w:t>Araç</w:t>
            </w:r>
          </w:p>
        </w:tc>
        <w:tc>
          <w:tcPr>
            <w:tcW w:w="4650" w:type="dxa"/>
            <w:shd w:val="clear" w:color="auto" w:fill="D9D9D9"/>
            <w:tcMar>
              <w:top w:w="100" w:type="dxa"/>
              <w:left w:w="100" w:type="dxa"/>
              <w:bottom w:w="100" w:type="dxa"/>
              <w:right w:w="100" w:type="dxa"/>
            </w:tcMar>
          </w:tcPr>
          <w:p w14:paraId="10EFF5F5" w14:textId="77777777" w:rsidR="00AB5509" w:rsidRDefault="00000000">
            <w:pPr>
              <w:widowControl w:val="0"/>
              <w:spacing w:line="240" w:lineRule="auto"/>
              <w:jc w:val="center"/>
              <w:rPr>
                <w:sz w:val="20"/>
                <w:szCs w:val="20"/>
              </w:rPr>
            </w:pPr>
            <w:r>
              <w:rPr>
                <w:sz w:val="20"/>
                <w:szCs w:val="20"/>
              </w:rPr>
              <w:t>CO2e / ton.km</w:t>
            </w:r>
          </w:p>
        </w:tc>
      </w:tr>
      <w:tr w:rsidR="00AB5509" w14:paraId="20FF565E" w14:textId="77777777">
        <w:tc>
          <w:tcPr>
            <w:tcW w:w="4680" w:type="dxa"/>
            <w:shd w:val="clear" w:color="auto" w:fill="auto"/>
            <w:tcMar>
              <w:top w:w="100" w:type="dxa"/>
              <w:left w:w="100" w:type="dxa"/>
              <w:bottom w:w="100" w:type="dxa"/>
              <w:right w:w="100" w:type="dxa"/>
            </w:tcMar>
          </w:tcPr>
          <w:p w14:paraId="136184FA" w14:textId="77777777" w:rsidR="00AB5509" w:rsidRDefault="00000000">
            <w:pPr>
              <w:widowControl w:val="0"/>
              <w:spacing w:line="240" w:lineRule="auto"/>
              <w:rPr>
                <w:sz w:val="20"/>
                <w:szCs w:val="20"/>
              </w:rPr>
            </w:pPr>
            <w:r>
              <w:rPr>
                <w:sz w:val="20"/>
                <w:szCs w:val="20"/>
              </w:rPr>
              <w:t>Kamyon</w:t>
            </w:r>
          </w:p>
        </w:tc>
        <w:tc>
          <w:tcPr>
            <w:tcW w:w="4650" w:type="dxa"/>
            <w:shd w:val="clear" w:color="auto" w:fill="auto"/>
            <w:tcMar>
              <w:top w:w="100" w:type="dxa"/>
              <w:left w:w="100" w:type="dxa"/>
              <w:bottom w:w="100" w:type="dxa"/>
              <w:right w:w="100" w:type="dxa"/>
            </w:tcMar>
          </w:tcPr>
          <w:p w14:paraId="1F372125" w14:textId="77777777" w:rsidR="00AB5509" w:rsidRDefault="00000000">
            <w:pPr>
              <w:widowControl w:val="0"/>
              <w:spacing w:line="240" w:lineRule="auto"/>
              <w:jc w:val="right"/>
              <w:rPr>
                <w:sz w:val="20"/>
                <w:szCs w:val="20"/>
              </w:rPr>
            </w:pPr>
            <w:r>
              <w:rPr>
                <w:sz w:val="20"/>
                <w:szCs w:val="20"/>
              </w:rPr>
              <w:t>0,246 Kilogram</w:t>
            </w:r>
          </w:p>
        </w:tc>
      </w:tr>
      <w:tr w:rsidR="00AB5509" w14:paraId="54E496EA" w14:textId="77777777">
        <w:tc>
          <w:tcPr>
            <w:tcW w:w="4680" w:type="dxa"/>
            <w:shd w:val="clear" w:color="auto" w:fill="auto"/>
            <w:tcMar>
              <w:top w:w="100" w:type="dxa"/>
              <w:left w:w="100" w:type="dxa"/>
              <w:bottom w:w="100" w:type="dxa"/>
              <w:right w:w="100" w:type="dxa"/>
            </w:tcMar>
          </w:tcPr>
          <w:p w14:paraId="7EA12A63" w14:textId="77777777" w:rsidR="00AB5509" w:rsidRDefault="00000000">
            <w:pPr>
              <w:widowControl w:val="0"/>
              <w:spacing w:line="240" w:lineRule="auto"/>
              <w:rPr>
                <w:sz w:val="20"/>
                <w:szCs w:val="20"/>
              </w:rPr>
            </w:pPr>
            <w:r>
              <w:rPr>
                <w:sz w:val="20"/>
                <w:szCs w:val="20"/>
              </w:rPr>
              <w:t>Tren</w:t>
            </w:r>
          </w:p>
        </w:tc>
        <w:tc>
          <w:tcPr>
            <w:tcW w:w="4650" w:type="dxa"/>
            <w:shd w:val="clear" w:color="auto" w:fill="auto"/>
            <w:tcMar>
              <w:top w:w="100" w:type="dxa"/>
              <w:left w:w="100" w:type="dxa"/>
              <w:bottom w:w="100" w:type="dxa"/>
              <w:right w:w="100" w:type="dxa"/>
            </w:tcMar>
          </w:tcPr>
          <w:p w14:paraId="07E41ACB" w14:textId="77777777" w:rsidR="00AB5509" w:rsidRDefault="00000000">
            <w:pPr>
              <w:widowControl w:val="0"/>
              <w:spacing w:line="240" w:lineRule="auto"/>
              <w:jc w:val="right"/>
              <w:rPr>
                <w:sz w:val="20"/>
                <w:szCs w:val="20"/>
              </w:rPr>
            </w:pPr>
            <w:r>
              <w:rPr>
                <w:sz w:val="20"/>
                <w:szCs w:val="20"/>
              </w:rPr>
              <w:t>0,065 Kilogram</w:t>
            </w:r>
          </w:p>
        </w:tc>
      </w:tr>
      <w:tr w:rsidR="00AB5509" w14:paraId="68BB691F" w14:textId="77777777">
        <w:tc>
          <w:tcPr>
            <w:tcW w:w="4680" w:type="dxa"/>
            <w:shd w:val="clear" w:color="auto" w:fill="auto"/>
            <w:tcMar>
              <w:top w:w="100" w:type="dxa"/>
              <w:left w:w="100" w:type="dxa"/>
              <w:bottom w:w="100" w:type="dxa"/>
              <w:right w:w="100" w:type="dxa"/>
            </w:tcMar>
          </w:tcPr>
          <w:p w14:paraId="607E7F8C" w14:textId="77777777" w:rsidR="00AB5509" w:rsidRDefault="00000000">
            <w:pPr>
              <w:widowControl w:val="0"/>
              <w:spacing w:line="240" w:lineRule="auto"/>
              <w:rPr>
                <w:sz w:val="20"/>
                <w:szCs w:val="20"/>
              </w:rPr>
            </w:pPr>
            <w:r>
              <w:rPr>
                <w:sz w:val="20"/>
                <w:szCs w:val="20"/>
              </w:rPr>
              <w:t>Uçak</w:t>
            </w:r>
          </w:p>
        </w:tc>
        <w:tc>
          <w:tcPr>
            <w:tcW w:w="4650" w:type="dxa"/>
            <w:shd w:val="clear" w:color="auto" w:fill="auto"/>
            <w:tcMar>
              <w:top w:w="100" w:type="dxa"/>
              <w:left w:w="100" w:type="dxa"/>
              <w:bottom w:w="100" w:type="dxa"/>
              <w:right w:w="100" w:type="dxa"/>
            </w:tcMar>
          </w:tcPr>
          <w:p w14:paraId="6FF01751" w14:textId="77777777" w:rsidR="00AB5509" w:rsidRDefault="00000000">
            <w:pPr>
              <w:widowControl w:val="0"/>
              <w:spacing w:line="240" w:lineRule="auto"/>
              <w:jc w:val="right"/>
              <w:rPr>
                <w:sz w:val="20"/>
                <w:szCs w:val="20"/>
              </w:rPr>
            </w:pPr>
            <w:r>
              <w:rPr>
                <w:sz w:val="20"/>
                <w:szCs w:val="20"/>
              </w:rPr>
              <w:t>0.1116 Kilogram</w:t>
            </w:r>
          </w:p>
        </w:tc>
      </w:tr>
      <w:tr w:rsidR="00AB5509" w14:paraId="14E992B4" w14:textId="77777777">
        <w:tc>
          <w:tcPr>
            <w:tcW w:w="4680" w:type="dxa"/>
            <w:shd w:val="clear" w:color="auto" w:fill="auto"/>
            <w:tcMar>
              <w:top w:w="100" w:type="dxa"/>
              <w:left w:w="100" w:type="dxa"/>
              <w:bottom w:w="100" w:type="dxa"/>
              <w:right w:w="100" w:type="dxa"/>
            </w:tcMar>
          </w:tcPr>
          <w:p w14:paraId="78BCBD46" w14:textId="77777777" w:rsidR="00AB5509" w:rsidRDefault="00000000">
            <w:pPr>
              <w:widowControl w:val="0"/>
              <w:spacing w:line="240" w:lineRule="auto"/>
              <w:rPr>
                <w:sz w:val="20"/>
                <w:szCs w:val="20"/>
              </w:rPr>
            </w:pPr>
            <w:r>
              <w:rPr>
                <w:sz w:val="20"/>
                <w:szCs w:val="20"/>
              </w:rPr>
              <w:t>Gemi</w:t>
            </w:r>
          </w:p>
        </w:tc>
        <w:tc>
          <w:tcPr>
            <w:tcW w:w="4650" w:type="dxa"/>
            <w:shd w:val="clear" w:color="auto" w:fill="auto"/>
            <w:tcMar>
              <w:top w:w="100" w:type="dxa"/>
              <w:left w:w="100" w:type="dxa"/>
              <w:bottom w:w="100" w:type="dxa"/>
              <w:right w:w="100" w:type="dxa"/>
            </w:tcMar>
          </w:tcPr>
          <w:p w14:paraId="7BB61FA9" w14:textId="77777777" w:rsidR="00AB5509" w:rsidRDefault="00000000">
            <w:pPr>
              <w:widowControl w:val="0"/>
              <w:spacing w:line="240" w:lineRule="auto"/>
              <w:jc w:val="right"/>
              <w:rPr>
                <w:sz w:val="20"/>
                <w:szCs w:val="20"/>
              </w:rPr>
            </w:pPr>
            <w:r>
              <w:rPr>
                <w:sz w:val="20"/>
                <w:szCs w:val="20"/>
              </w:rPr>
              <w:t>0,03 Kilogram</w:t>
            </w:r>
          </w:p>
        </w:tc>
      </w:tr>
    </w:tbl>
    <w:p w14:paraId="5FADC40D" w14:textId="77777777" w:rsidR="00AB5509" w:rsidRDefault="00AB5509">
      <w:pPr>
        <w:shd w:val="clear" w:color="auto" w:fill="FEFEFE"/>
        <w:spacing w:after="240"/>
        <w:rPr>
          <w:sz w:val="20"/>
          <w:szCs w:val="20"/>
        </w:rPr>
      </w:pPr>
    </w:p>
    <w:p w14:paraId="28471D90" w14:textId="77777777" w:rsidR="00AB5509" w:rsidRDefault="00000000">
      <w:pPr>
        <w:shd w:val="clear" w:color="auto" w:fill="FEFEFE"/>
        <w:spacing w:after="240"/>
        <w:rPr>
          <w:i/>
          <w:sz w:val="20"/>
          <w:szCs w:val="20"/>
        </w:rPr>
      </w:pPr>
      <w:r>
        <w:rPr>
          <w:i/>
          <w:sz w:val="20"/>
          <w:szCs w:val="20"/>
        </w:rPr>
        <w:t>Her araç farklı olduğundan, emisyon faktörleri koşullara bağlı olarak değişir. İlk senaryoda, kamyon emisyon faktörü araçların ortalamasına dayanır; diğerinde, kamyon emisyon faktörü özel olarak seçilmiş bir kamyondan alınan verilere dayanır.</w:t>
      </w:r>
    </w:p>
    <w:p w14:paraId="4B45D3EF" w14:textId="77777777" w:rsidR="00AB5509" w:rsidRDefault="00AB5509">
      <w:pPr>
        <w:shd w:val="clear" w:color="auto" w:fill="FEFEFE"/>
        <w:spacing w:after="240"/>
        <w:rPr>
          <w:sz w:val="20"/>
          <w:szCs w:val="20"/>
        </w:rPr>
      </w:pPr>
    </w:p>
    <w:p w14:paraId="50E0619F" w14:textId="77777777" w:rsidR="00AB5509" w:rsidRDefault="00000000">
      <w:pPr>
        <w:shd w:val="clear" w:color="auto" w:fill="FEFEFE"/>
        <w:spacing w:after="240"/>
        <w:rPr>
          <w:b/>
          <w:sz w:val="26"/>
          <w:szCs w:val="26"/>
        </w:rPr>
      </w:pPr>
      <w:r>
        <w:rPr>
          <w:b/>
          <w:sz w:val="26"/>
          <w:szCs w:val="26"/>
        </w:rPr>
        <w:t>Bir adım daha ileri gitmek</w:t>
      </w:r>
    </w:p>
    <w:p w14:paraId="4B0DFCE2" w14:textId="77777777" w:rsidR="00AB5509" w:rsidRDefault="00000000">
      <w:pPr>
        <w:numPr>
          <w:ilvl w:val="0"/>
          <w:numId w:val="1"/>
        </w:numPr>
        <w:shd w:val="clear" w:color="auto" w:fill="FEFEFE"/>
        <w:spacing w:after="240"/>
        <w:rPr>
          <w:b/>
        </w:rPr>
      </w:pPr>
      <w:r>
        <w:rPr>
          <w:b/>
        </w:rPr>
        <w:t>Ekonomik değerin hesaplanması</w:t>
      </w:r>
    </w:p>
    <w:p w14:paraId="72AB480F" w14:textId="77777777" w:rsidR="00AB5509" w:rsidRDefault="00000000">
      <w:pPr>
        <w:shd w:val="clear" w:color="auto" w:fill="FEFEFE"/>
        <w:spacing w:after="240"/>
      </w:pPr>
      <w:r>
        <w:lastRenderedPageBreak/>
        <w:t>İşte kullanılan formülün detayları:</w:t>
      </w:r>
    </w:p>
    <w:p w14:paraId="2FF85F1C" w14:textId="77777777" w:rsidR="00AB5509" w:rsidRDefault="00000000">
      <w:pPr>
        <w:shd w:val="clear" w:color="auto" w:fill="FEFEFE"/>
        <w:spacing w:after="240"/>
        <w:rPr>
          <w:sz w:val="20"/>
          <w:szCs w:val="20"/>
        </w:rPr>
      </w:pPr>
      <w:r>
        <w:rPr>
          <w:sz w:val="20"/>
          <w:szCs w:val="20"/>
        </w:rPr>
        <w:t>[(birÜniteYakıtFiyatı/</w:t>
      </w:r>
      <w:proofErr w:type="gramStart"/>
      <w:r>
        <w:rPr>
          <w:sz w:val="20"/>
          <w:szCs w:val="20"/>
        </w:rPr>
        <w:t>mesafeBirYakıtÜnitesi)/</w:t>
      </w:r>
      <w:proofErr w:type="gramEnd"/>
      <w:r>
        <w:rPr>
          <w:sz w:val="20"/>
          <w:szCs w:val="20"/>
        </w:rPr>
        <w:t>(toplamTeu*birTeuTon)*mesafe*ağırlık]/(yüzde/100)</w:t>
      </w:r>
    </w:p>
    <w:p w14:paraId="66659228" w14:textId="77777777" w:rsidR="00AB5509" w:rsidRDefault="00000000">
      <w:pPr>
        <w:shd w:val="clear" w:color="auto" w:fill="FEFEFE"/>
        <w:spacing w:after="240"/>
      </w:pPr>
      <w:r>
        <w:t>Bu formül bir sevkiyat için tahmini toplam taşıma maliyetini hesaplar.</w:t>
      </w:r>
    </w:p>
    <w:p w14:paraId="61A4F254" w14:textId="77777777" w:rsidR="00AB5509" w:rsidRDefault="00000000">
      <w:pPr>
        <w:shd w:val="clear" w:color="auto" w:fill="FEFEFE"/>
        <w:spacing w:after="240"/>
      </w:pPr>
      <w:r>
        <w:t xml:space="preserve">Yakıt maliyetini, yakıt fiyatı, yakıt verimliliği, kat edilen mesafe ve toplam kargo ağırlığı (hem yirmi fit eşdeğer birimlerden (TEU) </w:t>
      </w:r>
      <w:r>
        <w:rPr>
          <w:vertAlign w:val="superscript"/>
        </w:rPr>
        <w:footnoteReference w:id="1"/>
      </w:r>
      <w:r>
        <w:t>hem de özgül kargo ağırlığından) esas alarak hesaplar.</w:t>
      </w:r>
    </w:p>
    <w:p w14:paraId="0FF16CA4" w14:textId="77777777" w:rsidR="00AB5509" w:rsidRDefault="00000000">
      <w:pPr>
        <w:shd w:val="clear" w:color="auto" w:fill="FEFEFE"/>
        <w:spacing w:after="240"/>
      </w:pPr>
      <w:r>
        <w:t>Ancak, bir nakliye şirketinin gerçek toplam maliyeti, belirli sevkiyata bağlı olarak değişebilen ek masrafları içerir. Bu masraflar şunları içerebilir:</w:t>
      </w:r>
    </w:p>
    <w:p w14:paraId="3BE1872D" w14:textId="77777777" w:rsidR="00AB5509" w:rsidRDefault="00000000">
      <w:pPr>
        <w:numPr>
          <w:ilvl w:val="0"/>
          <w:numId w:val="2"/>
        </w:numPr>
        <w:shd w:val="clear" w:color="auto" w:fill="FEFEFE"/>
      </w:pPr>
      <w:r>
        <w:t>İşgücü maliyetleri: Sürücüler, yükleyiciler ve taşımacılıkta görev alan diğer personel için maaşlar ve yan haklar.</w:t>
      </w:r>
    </w:p>
    <w:p w14:paraId="560B9AA5" w14:textId="77777777" w:rsidR="00AB5509" w:rsidRDefault="00000000">
      <w:pPr>
        <w:numPr>
          <w:ilvl w:val="0"/>
          <w:numId w:val="2"/>
        </w:numPr>
        <w:shd w:val="clear" w:color="auto" w:fill="FEFEFE"/>
      </w:pPr>
      <w:r>
        <w:t>Araç bakımı ve onarımı: Araçların iyi çalışır durumda tutulması.</w:t>
      </w:r>
    </w:p>
    <w:p w14:paraId="163888DB" w14:textId="77777777" w:rsidR="00AB5509" w:rsidRDefault="00000000">
      <w:pPr>
        <w:numPr>
          <w:ilvl w:val="0"/>
          <w:numId w:val="2"/>
        </w:numPr>
        <w:shd w:val="clear" w:color="auto" w:fill="FEFEFE"/>
        <w:spacing w:after="240"/>
      </w:pPr>
      <w:r>
        <w:t>İdari giderler: sigorta, izinler ve diğer operasyonel giderler.</w:t>
      </w:r>
    </w:p>
    <w:p w14:paraId="11E6F607" w14:textId="77777777" w:rsidR="00AB5509" w:rsidRDefault="00000000">
      <w:pPr>
        <w:shd w:val="clear" w:color="auto" w:fill="FEFEFE"/>
        <w:spacing w:after="240"/>
      </w:pPr>
      <w:r>
        <w:t xml:space="preserve">Bu değişken maliyetleri hesaba katmak için formül, nihai fiyatın tahmini yakıt maliyeti kısmını temsil eden bir yüzde kullanır. Bu, yakıt maliyetlerini ve ek masraflar için bir tamponu göz önünde bulundurarak varsayımsal bir nihai fiyat hesaplamamızı sağlar. Kesin nihai maliyet olmasa </w:t>
      </w:r>
      <w:proofErr w:type="gramStart"/>
      <w:r>
        <w:t>da,</w:t>
      </w:r>
      <w:proofErr w:type="gramEnd"/>
      <w:r>
        <w:t xml:space="preserve"> seçilen yüzdeye göre potansiyel kar marjı hakkında bize bir fikir verir.</w:t>
      </w:r>
    </w:p>
    <w:p w14:paraId="6479346C" w14:textId="77777777" w:rsidR="00AB5509" w:rsidRDefault="00AB5509">
      <w:pPr>
        <w:shd w:val="clear" w:color="auto" w:fill="FEFEFE"/>
        <w:spacing w:after="240"/>
        <w:rPr>
          <w:sz w:val="20"/>
          <w:szCs w:val="20"/>
        </w:rPr>
      </w:pPr>
    </w:p>
    <w:p w14:paraId="18DCF0D3" w14:textId="77777777" w:rsidR="00AB5509" w:rsidRDefault="00AB5509">
      <w:pPr>
        <w:shd w:val="clear" w:color="auto" w:fill="FEFEFE"/>
        <w:spacing w:after="240"/>
        <w:rPr>
          <w:sz w:val="20"/>
          <w:szCs w:val="20"/>
        </w:rPr>
      </w:pPr>
    </w:p>
    <w:p w14:paraId="6F0F7D1B" w14:textId="77777777" w:rsidR="00AB5509" w:rsidRDefault="00AB5509">
      <w:pPr>
        <w:shd w:val="clear" w:color="auto" w:fill="FEFEFE"/>
        <w:spacing w:after="240"/>
        <w:rPr>
          <w:sz w:val="20"/>
          <w:szCs w:val="20"/>
        </w:rPr>
      </w:pPr>
    </w:p>
    <w:p w14:paraId="403F6653" w14:textId="77777777" w:rsidR="00AB5509" w:rsidRDefault="00AB5509">
      <w:pPr>
        <w:shd w:val="clear" w:color="auto" w:fill="FEFEFE"/>
        <w:spacing w:after="240"/>
        <w:rPr>
          <w:sz w:val="20"/>
          <w:szCs w:val="20"/>
        </w:rPr>
      </w:pPr>
    </w:p>
    <w:p w14:paraId="5B455F2F" w14:textId="77777777" w:rsidR="00AB5509" w:rsidRDefault="00AB5509">
      <w:pPr>
        <w:shd w:val="clear" w:color="auto" w:fill="FEFEFE"/>
        <w:spacing w:after="240"/>
        <w:rPr>
          <w:sz w:val="20"/>
          <w:szCs w:val="20"/>
        </w:rPr>
      </w:pPr>
    </w:p>
    <w:p w14:paraId="0F617089" w14:textId="77777777" w:rsidR="00AB5509" w:rsidRDefault="00AB5509">
      <w:pPr>
        <w:shd w:val="clear" w:color="auto" w:fill="FEFEFE"/>
        <w:spacing w:after="240"/>
        <w:rPr>
          <w:sz w:val="20"/>
          <w:szCs w:val="20"/>
        </w:rPr>
      </w:pPr>
    </w:p>
    <w:p w14:paraId="2826DECF" w14:textId="77777777" w:rsidR="00AB5509" w:rsidRDefault="00AB5509">
      <w:pPr>
        <w:shd w:val="clear" w:color="auto" w:fill="FEFEFE"/>
        <w:spacing w:after="240"/>
        <w:rPr>
          <w:sz w:val="20"/>
          <w:szCs w:val="20"/>
        </w:rPr>
      </w:pPr>
    </w:p>
    <w:p w14:paraId="763E7706" w14:textId="77777777" w:rsidR="00AB5509" w:rsidRDefault="00000000">
      <w:pPr>
        <w:numPr>
          <w:ilvl w:val="0"/>
          <w:numId w:val="1"/>
        </w:numPr>
        <w:shd w:val="clear" w:color="auto" w:fill="FEFEFE"/>
        <w:spacing w:after="240"/>
        <w:rPr>
          <w:b/>
        </w:rPr>
      </w:pPr>
      <w:r>
        <w:rPr>
          <w:b/>
        </w:rPr>
        <w:t>Kodu değiştirme</w:t>
      </w:r>
    </w:p>
    <w:p w14:paraId="55691A7D" w14:textId="77777777" w:rsidR="00AB5509" w:rsidRDefault="00000000">
      <w:pPr>
        <w:shd w:val="clear" w:color="auto" w:fill="FEFEFE"/>
        <w:spacing w:after="240"/>
      </w:pPr>
      <w:r>
        <w:lastRenderedPageBreak/>
        <w:t>Araç içindeki script.js dosyası özelleştirmeye olanak tanır. Öğrenciler, ortalamalar yerine seçtikleri aracın değerlerini içerecek şekilde formülleri değiştirerek belirli araçların çevresel ve ekonomik etkisini analiz edebilirler.</w:t>
      </w:r>
    </w:p>
    <w:p w14:paraId="3C2A0A3F" w14:textId="77777777" w:rsidR="00AB5509" w:rsidRDefault="00AB5509">
      <w:pPr>
        <w:shd w:val="clear" w:color="auto" w:fill="FEFEFE"/>
        <w:spacing w:after="240"/>
      </w:pPr>
    </w:p>
    <w:p w14:paraId="33D7EEC0" w14:textId="77777777" w:rsidR="00AB5509" w:rsidRDefault="00000000">
      <w:pPr>
        <w:shd w:val="clear" w:color="auto" w:fill="FEFEFE"/>
        <w:spacing w:after="240"/>
        <w:rPr>
          <w:sz w:val="20"/>
          <w:szCs w:val="20"/>
        </w:rPr>
      </w:pPr>
      <w:r>
        <w:rPr>
          <w:noProof/>
          <w:sz w:val="20"/>
          <w:szCs w:val="20"/>
        </w:rPr>
        <w:drawing>
          <wp:inline distT="114300" distB="114300" distL="114300" distR="114300" wp14:anchorId="314FC3AD" wp14:editId="5C128AA7">
            <wp:extent cx="5943600" cy="3581400"/>
            <wp:effectExtent l="0" t="0" r="0" b="0"/>
            <wp:docPr id="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5"/>
                    <a:srcRect/>
                    <a:stretch>
                      <a:fillRect/>
                    </a:stretch>
                  </pic:blipFill>
                  <pic:spPr>
                    <a:xfrm>
                      <a:off x="0" y="0"/>
                      <a:ext cx="5943600" cy="3581400"/>
                    </a:xfrm>
                    <a:prstGeom prst="rect">
                      <a:avLst/>
                    </a:prstGeom>
                    <a:ln/>
                  </pic:spPr>
                </pic:pic>
              </a:graphicData>
            </a:graphic>
          </wp:inline>
        </w:drawing>
      </w:r>
    </w:p>
    <w:sectPr w:rsidR="00AB5509">
      <w:headerReference w:type="default" r:id="rId16"/>
      <w:footerReference w:type="default" r:id="rId1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E7C287" w14:textId="77777777" w:rsidR="009841F3" w:rsidRDefault="009841F3">
      <w:pPr>
        <w:spacing w:line="240" w:lineRule="auto"/>
      </w:pPr>
      <w:r>
        <w:separator/>
      </w:r>
    </w:p>
  </w:endnote>
  <w:endnote w:type="continuationSeparator" w:id="0">
    <w:p w14:paraId="2D9FBEE1" w14:textId="77777777" w:rsidR="009841F3" w:rsidRDefault="009841F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16BEC3" w14:textId="77777777" w:rsidR="00AB5509" w:rsidRDefault="00000000">
    <w:pPr>
      <w:jc w:val="center"/>
    </w:pPr>
    <w:r>
      <w:t xml:space="preserve">    </w:t>
    </w:r>
    <w:r>
      <w:rPr>
        <w:noProof/>
      </w:rPr>
      <w:drawing>
        <wp:inline distT="114300" distB="114300" distL="114300" distR="114300" wp14:anchorId="7D403C30" wp14:editId="2451FD0B">
          <wp:extent cx="4484884" cy="691312"/>
          <wp:effectExtent l="0" t="0" r="0" b="0"/>
          <wp:docPr id="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4484884" cy="691312"/>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7FB9E3" w14:textId="77777777" w:rsidR="009841F3" w:rsidRDefault="009841F3">
      <w:pPr>
        <w:spacing w:line="240" w:lineRule="auto"/>
      </w:pPr>
      <w:r>
        <w:separator/>
      </w:r>
    </w:p>
  </w:footnote>
  <w:footnote w:type="continuationSeparator" w:id="0">
    <w:p w14:paraId="7783596E" w14:textId="77777777" w:rsidR="009841F3" w:rsidRDefault="009841F3">
      <w:pPr>
        <w:spacing w:line="240" w:lineRule="auto"/>
      </w:pPr>
      <w:r>
        <w:continuationSeparator/>
      </w:r>
    </w:p>
  </w:footnote>
  <w:footnote w:id="1">
    <w:p w14:paraId="78654F5B" w14:textId="77777777" w:rsidR="00AB5509" w:rsidRDefault="00000000">
      <w:pPr>
        <w:spacing w:line="240" w:lineRule="auto"/>
        <w:rPr>
          <w:sz w:val="18"/>
          <w:szCs w:val="18"/>
        </w:rPr>
      </w:pPr>
      <w:r>
        <w:rPr>
          <w:vertAlign w:val="superscript"/>
        </w:rPr>
        <w:footnoteRef/>
      </w:r>
      <w:r>
        <w:rPr>
          <w:sz w:val="20"/>
          <w:szCs w:val="20"/>
        </w:rPr>
        <w:t xml:space="preserve"> </w:t>
      </w:r>
      <w:r>
        <w:rPr>
          <w:sz w:val="18"/>
          <w:szCs w:val="18"/>
        </w:rPr>
        <w:t xml:space="preserve">“TEU, konteyner gemileri ve kargo ölçümü için küresel standardı temsil eder ve dünya çapında nakliye uygulamalarını uyumlu hale getirmede çok önemlidir.” - </w:t>
      </w:r>
      <w:hyperlink r:id="rId1">
        <w:r w:rsidR="00AB5509">
          <w:rPr>
            <w:color w:val="1155CC"/>
            <w:sz w:val="18"/>
            <w:szCs w:val="18"/>
            <w:u w:val="single"/>
          </w:rPr>
          <w:t xml:space="preserve">Sino Ships </w:t>
        </w:r>
      </w:hyperlink>
      <w:r>
        <w:rPr>
          <w:sz w:val="18"/>
          <w:szCs w:val="18"/>
        </w:rPr>
        <w:t>. Tek bir Yirmi Ayak Eşdeğer Birimi (TEU) 2,39 x 2,35 x 5,9 metre boyutlarındadır. Maksimum 21,6 ton taşıma kapasitesine sahiptir. Yüklenmediğinde, bir TEU'nun ortalama ağırlığı yaklaşık 2,3 tondur.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81B877" w14:textId="77777777" w:rsidR="00AB5509" w:rsidRDefault="00000000">
    <w:r>
      <w:rPr>
        <w:noProof/>
      </w:rPr>
      <w:drawing>
        <wp:inline distT="114300" distB="114300" distL="114300" distR="114300" wp14:anchorId="2DE8C42E" wp14:editId="55BAE06B">
          <wp:extent cx="3595688" cy="774715"/>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3595688" cy="774715"/>
                  </a:xfrm>
                  <a:prstGeom prst="rect">
                    <a:avLst/>
                  </a:prstGeom>
                  <a:ln/>
                </pic:spPr>
              </pic:pic>
            </a:graphicData>
          </a:graphic>
        </wp:inline>
      </w:drawing>
    </w:r>
  </w:p>
  <w:p w14:paraId="268E8AAB" w14:textId="77777777" w:rsidR="00AB5509" w:rsidRDefault="00AB550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BB2C43"/>
    <w:multiLevelType w:val="multilevel"/>
    <w:tmpl w:val="9B64E4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8A832FD"/>
    <w:multiLevelType w:val="multilevel"/>
    <w:tmpl w:val="AA00327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F892F2C"/>
    <w:multiLevelType w:val="multilevel"/>
    <w:tmpl w:val="C372A1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82B4E77"/>
    <w:multiLevelType w:val="multilevel"/>
    <w:tmpl w:val="DB3C11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172451772">
    <w:abstractNumId w:val="1"/>
  </w:num>
  <w:num w:numId="2" w16cid:durableId="132450753">
    <w:abstractNumId w:val="3"/>
  </w:num>
  <w:num w:numId="3" w16cid:durableId="1651206895">
    <w:abstractNumId w:val="0"/>
  </w:num>
  <w:num w:numId="4" w16cid:durableId="5794147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5509"/>
    <w:rsid w:val="00284921"/>
    <w:rsid w:val="00322CD1"/>
    <w:rsid w:val="00352CE0"/>
    <w:rsid w:val="009841F3"/>
    <w:rsid w:val="00A06D87"/>
    <w:rsid w:val="00AB550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791CB294"/>
  <w15:docId w15:val="{E9F688EB-CD0B-0B4E-BF96-68AED63EA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tr"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theicct.org/publication/co2-emissions-from-trucks-in-the-eu-an-analysis-of-the-heavy-duty-co2-standards-baseline-data/" TargetMode="Externa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youtu.be/iEvhDXjoN94?si=a8ZiDLaFV-byrAM_" TargetMode="External"/><Relationship Id="rId12" Type="http://schemas.openxmlformats.org/officeDocument/2006/relationships/hyperlink" Target="https://www.searates.com/services/distances-time"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limatiq.io/data/sector/transport" TargetMode="External"/><Relationship Id="rId5" Type="http://schemas.openxmlformats.org/officeDocument/2006/relationships/footnotes" Target="footnotes.xml"/><Relationship Id="rId15" Type="http://schemas.openxmlformats.org/officeDocument/2006/relationships/image" Target="media/image3.png"/><Relationship Id="rId10" Type="http://schemas.openxmlformats.org/officeDocument/2006/relationships/hyperlink" Target="https://ec.europa.eu/info/funding-tenders/opportunities/docs/2021-2027/innovfund/other/ghg-calculator-ccs_innovfund-lsc_v2.0_en.xlsx"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carbonindependent.org/21.html" TargetMode="External"/><Relationship Id="rId14"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notes.xml.rels><?xml version="1.0" encoding="UTF-8" standalone="yes"?>
<Relationships xmlns="http://schemas.openxmlformats.org/package/2006/relationships"><Relationship Id="rId1" Type="http://schemas.openxmlformats.org/officeDocument/2006/relationships/hyperlink" Target="https://www.sino-shipping.com/twenty-foot-equivalent-un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7</Pages>
  <Words>949</Words>
  <Characters>5413</Characters>
  <Application>Microsoft Office Word</Application>
  <DocSecurity>0</DocSecurity>
  <Lines>45</Lines>
  <Paragraphs>12</Paragraphs>
  <ScaleCrop>false</ScaleCrop>
  <Company/>
  <LinksUpToDate>false</LinksUpToDate>
  <CharactersWithSpaces>6350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ARAS SARI</cp:lastModifiedBy>
  <cp:revision>3</cp:revision>
  <dcterms:created xsi:type="dcterms:W3CDTF">2024-11-14T18:48:00Z</dcterms:created>
  <dcterms:modified xsi:type="dcterms:W3CDTF">2024-11-14T18:53:00Z</dcterms:modified>
</cp:coreProperties>
</file>